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0"/>
        <w:jc w:val="center"/>
      </w:pPr>
      <w:r>
        <w:rPr>
          <w:b/>
          <w:bCs/>
          <w:color w:val="1F3864"/>
          <w:sz w:val="36"/>
          <w:szCs w:val="36"/>
        </w:rPr>
        <w:t xml:space="preserve">Aurora MHD Technology Set</w:t>
      </w:r>
    </w:p>
    <w:p>
      <w:pPr>
        <w:spacing w:after="240"/>
        <w:jc w:val="center"/>
      </w:pPr>
      <w:r>
        <w:rPr>
          <w:b/>
          <w:bCs/>
          <w:color w:val="2E5984"/>
          <w:sz w:val="32"/>
          <w:szCs w:val="32"/>
        </w:rPr>
        <w:t xml:space="preserve">Architecture 4 — Supersonic Closed-Cycle Faraday MHD</w:t>
      </w:r>
    </w:p>
    <w:p>
      <w:pPr>
        <w:spacing w:after="480"/>
        <w:jc w:val="center"/>
      </w:pPr>
      <w:r>
        <w:rPr>
          <w:i/>
          <w:iCs/>
          <w:color w:val="404040"/>
          <w:sz w:val="28"/>
          <w:szCs w:val="28"/>
        </w:rPr>
        <w:t xml:space="preserve">Prior Art Synthesis &amp; Strategic Position</w:t>
      </w:r>
    </w:p>
    <w:p>
      <w:pPr>
        <w:spacing w:after="1200"/>
        <w:jc w:val="center"/>
      </w:pPr>
      <w:r>
        <w:rPr>
          <w:color w:val="808080"/>
          <w:sz w:val="20"/>
          <w:szCs w:val="20"/>
        </w:rPr>
        <w:t xml:space="preserve">Working document — internal use</w:t>
      </w:r>
    </w:p>
    <w:p>
      <w:pPr>
        <w:pStyle w:val="Heading1"/>
      </w:pPr>
      <w:r>
        <w:t xml:space="preserve">1. Executive Summary</w:t>
      </w:r>
    </w:p>
    <w:p>
      <w:pPr>
        <w:spacing w:after="120" w:line="300"/>
      </w:pPr>
      <w:r>
        <w:t xml:space="preserve">Architecture 4 is a closed-cycle Brayton MHD generator targeting the 5–50 MW stationary mid-scale power market. Its operating point: working gas (N₂ or noble gas, currently under review) seeded with cesium, accelerated to supersonic Mach 1.5–3 through a converging-diverging nozzle, expanded through a segmented-Faraday MHD channel at B = 10–15 T (modern REBCO HTS), with heat input via ceramic regenerator. Target: 50–55% plant efficiency, $2,000–3,500/kWe capex landing zone.</w:t>
      </w:r>
    </w:p>
    <w:p>
      <w:pPr>
        <w:spacing w:after="120" w:line="300"/>
      </w:pPr>
      <w:r>
        <w:t xml:space="preserve">The architecture is a recombination of established sub-system capabilities in a configuration that has not been built before. It makes two specific extensions beyond demonstrated prior art: supersonic operation in closed cycle (NASA Lewis stopped at Mach 0.55; Sakhalin demonstrated supersonic but pulsed) and continuous multi-MW non-equilibrium σ enhancement (Tokyo Tech demonstrated the physics sub-MW). These extensions are bounded and identifiable — not the broad ‘unresolved technical issues’ that ended the 1993 DOE program.</w:t>
      </w:r>
    </w:p>
    <w:p>
      <w:pPr>
        <w:spacing w:after="120" w:line="300"/>
      </w:pPr>
      <w:r>
        <w:t xml:space="preserve">The four-phase prior art exercise establishes that Architecture 4 is a defensible engineering bet with seven specific, addressable risks. The strategic case rests on customer-facing market validation in early development stages and on cost discipline to keep first-of-a-kind capex within the $2,000–3,500/kWe landing zone. Architecture 4 is positioned as a competitive, not dominant, mid-scale stationary power option.</w:t>
      </w:r>
    </w:p>
    <w:p>
      <w:pPr>
        <w:pStyle w:val="Heading1"/>
      </w:pPr>
      <w:r>
        <w:t xml:space="preserve">2. Defensible Technical Claims</w:t>
      </w:r>
    </w:p>
    <w:p>
      <w:pPr>
        <w:spacing w:after="120" w:line="300"/>
      </w:pPr>
      <w:r>
        <w:t xml:space="preserve">The claims below can be defended with reference to documented prior art. Each claim is followed by its supporting evidence and any caveats.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598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Claim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598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Evidence and Caveat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Closed-cycle Faraday MHD physics works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NASA Lewis demonstrated 92% of ideal Faraday voltage (141 V at 1.7 T, He-Cs working fluid). Caveat: sub-MW class only, M = 0.55 max.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Multi-hour MHD operation is achievable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U-25 channel #2 disassembled after 100+ hours; CDIF set record durations; ITC POC channel design target was 2,000 hours. Caveat: all open-cycle; closed-cycle Cs-vapor duration is a gap.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σ enhancement via non-equilibrium ionization is physically achievable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Tokyo Tech RF-assisted CCMHD; Litchford/Harada NASA Marshall analysis; Marzouk 2024 σ model. Caveat: sub-MW only; NASA Lewis explicitly noted no nonequilibrium power generated at the multi-electrode scale.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Closed-cycle eliminates the dominant historical failure mode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Slag chemistry, anode pitting, and seed depletion accounted for the largest portion of channel failures in coal-MHD heritage. Architecture 4 has no slag. Caveat: introduces different failure mode (Cs-vapor corrosion) for which no &gt;1,000 hour data exists.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Required magnet field strength is commercially supported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CFS validated 20 T at 20 K REBCO HTS with DOE acceptance; Tokamak Energy validated 26.2 T at 4 K and complete magnet system. Caveat: integration into flowing-plasma channel requires custom thermal management engineering.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Modern multiphysics CFD design capability is available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Marzouk OpenFOAM MHD solver with Sakhalin validation; commercial COMSOL and ANSYS Fluent MHD modules; NETL multiphysics tool stack. Caveat: CFD does not substitute for hardware testing at scale.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Cs handling is established engineering practice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Accelerator photocathode community has decades of routine Cs handling at high purity; mature commercial tooling (SAES Getters AMDs, UHV protocols). Caveat: photocathode regime is room-T UHV vs Architecture 4's 1500-1900 K flowing plasma.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Ceramic regenerator innovation delivers material capex savings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Earlier Aurora analysis demonstrated approximately $74M savings vs fluid heat exchanger; Zauderer pebble-bed concept provides theoretical heritage. Caveat: not yet validated at integration level.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50–55% plant efficiency is consistent with independent analyses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University of Florida, Nagaoka, Indian groups, Chinese groups, Tokyo Tech all converge on 50–60% CCMHD-Brayton efficiency; Litchford/Harada specifically 55.2%. Caveat: all theoretical; no multi-MW operational validation.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Supersonic Faraday geometry works at scale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Sakhalin PMHDG demonstrated 510 MW from a 4.5 m supersonic divergent Faraday channel. Caveat: pulsed only (2.5–10 second duration); continuous operation extension is first-of-its-kind.</w:t>
            </w:r>
          </w:p>
        </w:tc>
      </w:tr>
    </w:tbl>
    <w:p>
      <w:pPr>
        <w:pStyle w:val="Heading1"/>
      </w:pPr>
      <w:r>
        <w:t xml:space="preserve">3. Acknowledged Risks</w:t>
      </w:r>
    </w:p>
    <w:p>
      <w:pPr>
        <w:spacing w:after="120" w:line="300"/>
      </w:pPr>
      <w:r>
        <w:t xml:space="preserve">The risks below are the ones prior art does not retire. Architecture 4 must address them through its development program.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598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598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Evidence and Retirement Path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1 — Cs-vapor electrode lifetime at multi-thousand hours undemonstrated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No closed-cycle MHD has run &gt;1,000 hours with operational Cs exposure data. Photocathode community Cs experience does not transfer (room-T UHV vs flowing plasma at 1500–1900 K). The 240,000-hour utility lifetime expectation is two orders of magnitude beyond any demonstrated value. Highest-priority risk. Retired by: multi-thousand-hour test program on candidate electrode materials in Cs-vapor at temperature. ~$5–15M, 2–3 years.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2 — Supersonic closed-cycle integration never done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Sakhalin is supersonic but pulsed and open-cycle. NASA Lewis is closed-cycle but subsonic. No prior art covers Architecture 4's specific combination. Retired by: sub-scale closed-cycle supersonic demonstrator (1–5 MW class) with full instrumentation. ~$30–80M, 3–5 years.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3 — Multi-MW non-equilibrium σ unproven at scale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Tokyo Tech RF-assisted work is sub-MW. NASA Lewis explicitly noted no non-equilibrium power generated at scale despite analytical framework being clear. Architecture 4's 50–100 S/m via non-equilibrium is the upper edge of literature-consistent range. Retired by: σ characterization at 1 MWe-class with full electron-density and electron-temperature diagnostics. Combine with Risk 2 demonstrator.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4 — Working fluid choice (N₂ vs noble gas) needs fresh justification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International CCMHD literature heavily favors He, Ar, Xe, He-Xe. N₂ is much less studied. Aurora's N₂ choice was driven by safety/cost rather than σ optimization. Retired by: working fluid trade-off study with explicit σ × u² × B² × power-density × cost analysis. Several weeks of analytical work; should happen before any demonstrator hardware commitment.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5 — First-of-a-kind capex at integration scale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The documented reason the 1993 DOE EDP program was terminated. Architecture 4's components are now commercially-supported (HTS magnets, AM, pulsed power), but system integration at multi-MW scale is still FOAK. Retired by: bottom-up cost model from validated component vendors; compare against benchmark sCO₂ Brayton TEAs.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6 — Sakhalin-to-continuous operation gap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Sakhalin demonstrated 510 MW for ~7 seconds. Architecture 4 needs 8,000+ hours/year continuous. Hardware changes between modes not fully characterized in available literature. Retired by: detailed sub-system thermal-cycling and steady-state-vs-transient analysis comparing Sakhalin design with Architecture 4 design.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7 — Cs/refractory metal high-T compatibility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No &gt;1,000-hour data in Cs-vapor at Architecture 4 operating temperatures. Photocathode UHV practice does not transfer. Retired by: combined with Risk 1 electrode lifetime program.</w:t>
            </w:r>
          </w:p>
        </w:tc>
      </w:tr>
    </w:tbl>
    <w:p>
      <w:pPr>
        <w:pStyle w:val="Heading1"/>
      </w:pPr>
      <w:r>
        <w:t xml:space="preserve">4. Risk Retirement Development Plan</w:t>
      </w:r>
    </w:p>
    <w:p>
      <w:pPr>
        <w:spacing w:after="120" w:line="300"/>
      </w:pPr>
      <w:r>
        <w:t xml:space="preserve">The risk inventory translates to a sequenced development program. Risks are retired in the order that makes subsequent investment decisions tractable.</w:t>
      </w:r>
    </w:p>
    <w:p>
      <w:pPr>
        <w:pStyle w:val="Heading3"/>
      </w:pPr>
      <w:r>
        <w:t xml:space="preserve">Stage 1 — Analytical Risk Retirement (months 0–6, ~$1–2M)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Working fluid trade-off study (Risk 4)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Bottom-up component cost model (Risk 5 partial)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Sakhalin-to-continuous gap analysis (Risk 6)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Architecture 4 σ × B² × u design space mapping using OpenFOAM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HTS magnet engagement with CFS / Tokamak Energy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AM electrode design with specialty metallurgists</w:t>
      </w:r>
    </w:p>
    <w:p>
      <w:pPr>
        <w:pStyle w:val="Heading3"/>
      </w:pPr>
      <w:r>
        <w:t xml:space="preserve">Stage 2 — Component-Level Validation (months 6–24, ~$5–15M)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Electrode lifetime test program in Cs-vapor at temperature (Risks 1, 7)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Cs handling sub-system bench-scale demonstration with photocathode community consultation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Pre-ionization power supply integration testing with industrial plasma vendors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Sub-scale (kW class) MHD channel testing for σ verification (Risk 3 entry point)</w:t>
      </w:r>
    </w:p>
    <w:p>
      <w:pPr>
        <w:pStyle w:val="Heading3"/>
      </w:pPr>
      <w:r>
        <w:t xml:space="preserve">Stage 3 — Sub-Scale Integrated Demonstrator (months 24–60, ~$30–80M)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1–5 MWe closed-cycle supersonic Faraday demonstrator (Risk 2, integrated)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Validates: continuous operation, supersonic flow, non-equilibrium σ at scale, Cs handling at scale, magnet integration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This is the Architecture 4 equivalent of the 1993 EDP, but at 40–100× smaller scale — what makes FOAK risk tractable</w:t>
      </w:r>
    </w:p>
    <w:p>
      <w:pPr>
        <w:pStyle w:val="Heading3"/>
      </w:pPr>
      <w:r>
        <w:t xml:space="preserve">Stage 4 — Commercial Pilot (months 60–120, ~$200–500M)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20–50 MWe pre-commercial deployment with strategic customer (data center, industrial CHP, naval auxiliary, etc.)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Validates: lifetime at scale, integration into customer thermal/electrical ecosystem, economics at deployment scale</w:t>
      </w:r>
    </w:p>
    <w:p>
      <w:pPr>
        <w:pStyle w:val="Heading3"/>
      </w:pPr>
      <w:r>
        <w:t xml:space="preserve">Stage 5 — Commercial Deployment (year 10+)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Full commercial product based on validated pilot performance</w:t>
      </w:r>
    </w:p>
    <w:p>
      <w:pPr>
        <w:pStyle w:val="Heading1"/>
      </w:pPr>
      <w:r>
        <w:t xml:space="preserve">5. Strategic Positioning</w:t>
      </w:r>
    </w:p>
    <w:p>
      <w:pPr>
        <w:pStyle w:val="Heading3"/>
      </w:pPr>
      <w:r>
        <w:t xml:space="preserve">Market positioning</w:t>
      </w:r>
    </w:p>
    <w:p>
      <w:pPr>
        <w:spacing w:after="120" w:line="300"/>
      </w:pPr>
      <w:r>
        <w:t xml:space="preserve">Mid-scale (5–50 MW) stationary continuous power, with specific value to customers who place premium on: (a) no rotating high-T turbomachinery, (b) high temperature capability, (c) modular scaling, (d) mobility / containerized deployment, (e) carbon-free dispatchable power when paired with green H₂ or coupled to closed combustion + CCS.</w:t>
      </w:r>
    </w:p>
    <w:p>
      <w:pPr>
        <w:pStyle w:val="Heading3"/>
      </w:pPr>
      <w:r>
        <w:t xml:space="preserve">Competitive set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Below in capex: CCGT bare ($1,000/kWe). Architecture 4 wins on T capability and rotating-machinery-free operation in some segments.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Comparable in capex: sCO₂ Brayton ($1,500–2,500/kWe), CCGT+CCS ($2,500–3,000/kWe). Architecture 4 differentiates on application fit.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Above in capex: SMR nuclear ($5,000–8,000/kWe). Architecture 4 wins on capex but competes against nuclear's longer-lifetime/zero-fuel-cost story.</w:t>
      </w:r>
    </w:p>
    <w:p>
      <w:pPr>
        <w:pStyle w:val="Heading3"/>
      </w:pPr>
      <w:r>
        <w:t xml:space="preserve">Honest expected landing zone</w:t>
      </w:r>
    </w:p>
    <w:p>
      <w:pPr>
        <w:spacing w:after="120" w:line="300"/>
      </w:pPr>
      <w:r>
        <w:t xml:space="preserve">$2,000–3,500/kWe at 50–55% efficiency, producing 5–50 MW per unit, in a competitive band rather than a dominant one. The strategic question is not ‘can Architecture 4 beat CCGT’ — it cannot, on pure capex. The strategic question is ‘is there a market segment that values Architecture 4's specific advantages enough to pay a moderate premium.’ This must be answered through customer engagement during Stage 1.</w:t>
      </w:r>
    </w:p>
    <w:p>
      <w:pPr>
        <w:pStyle w:val="Heading3"/>
      </w:pPr>
      <w:r>
        <w:t xml:space="preserve">Funding strategy implications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Stage 1 ($1–2M, analytical): small grants, internal funding, or seed investment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Stage 2 ($5–15M, component validation): Series A class commercial funding or DOE ARPA-E grant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Stage 3 ($30–80M, sub-scale demonstrator): Series B class plus strategic partnership, or DOE BIL/IRA program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Stage 4 ($200–500M, commercial pilot): anchor customer commitment plus debt financing or strategic acquisition</w:t>
      </w:r>
    </w:p>
    <w:p>
      <w:pPr>
        <w:spacing w:after="120" w:line="300"/>
      </w:pPr>
      <w:r>
        <w:t xml:space="preserve">This funding sequence is materially different from the 1993 DOE EDP path (federal program from concept through commercial demonstration). Architecture 4's case rests on a commercial-first development sequence with selective public funding for component validation, rather than a federal-first sequence locked to DOE budget priorities.</w:t>
      </w:r>
    </w:p>
    <w:p>
      <w:pPr>
        <w:pStyle w:val="Heading1"/>
      </w:pPr>
      <w:r>
        <w:t xml:space="preserve">6. What Architecture 4 Is Not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a substitute for CCGT in cost-driven commodity power markets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a near-term commercial product (10+ years from current state)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de-risked — the four-phase exercise reduces risk perception but does not retire any of the seven identified risks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a single-architecture bet for the Aurora technology set; benefits from cross-cutting work shared with other architectures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the highest-priority architecture in the Aurora set automatically — comparable exercises for Architectures 1, 2, 3 may surface different prioritization</w:t>
      </w:r>
    </w:p>
    <w:p>
      <w:pPr>
        <w:pStyle w:val="Heading1"/>
      </w:pPr>
      <w:r>
        <w:t xml:space="preserve">7. Architecture 4 Prior Art Snapshot</w:t>
      </w:r>
    </w:p>
    <w:p>
      <w:pPr>
        <w:spacing w:after="120" w:line="300"/>
      </w:pPr>
      <w:r>
        <w:t xml:space="preserve">Single-page reference summary of where each design dimension stands after the four-phase prior art exercise.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200"/>
        <w:gridCol w:w="3660"/>
      </w:tblGrid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598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Design Dimension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598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598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Source / Action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Closed-cycle MHD physics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Demonstrated (sub-MW)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NASA Lewis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Multi-hour MHD operation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Demonstrated (open-cycle)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U-25, CDIF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Non-equilibrium σ enhancement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Demonstrated (sub-MW)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Tokyo Tech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Closed-cycle without slag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Architecturally favored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By design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Modern HTS magnets at 15 T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Commercially validated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CFS, Tokamak Energy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Modern CFD design tools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Validated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Marzouk OpenFOAM solver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Cs handling engineering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Mature in adjacent industry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Photocathode community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Pre-ionization power supply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Commercial COTS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SiC/GaN pulsers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Refractory metal AM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Production-ready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Multiple vendors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Supersonic Faraday at scale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Demonstrated (pulsed)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Sakhalin 510 MW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Supersonic closed-cycle integration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Never demonstrated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Risk 2 — demonstrator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Multi-MW non-equilibrium σ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Never demonstrated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Risk 3 — sub-scale test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Cs-vapor electrode lifetime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No data &gt;1,000 hours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Risk 1 — test program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Working fluid choice (N₂ vs noble)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Needs fresh analysis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Risk 4 — Stage 1 study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FOAK capex at integration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Bounded but real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Risk 5 — cost model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Continuous from pulsed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Engineering gap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Risk 6 — gap analysis</w:t>
            </w:r>
          </w:p>
        </w:tc>
      </w:tr>
    </w:tbl>
    <w:p>
      <w:pPr>
        <w:spacing w:after="240" w:before="480"/>
      </w:pPr>
      <w:r>
        <w:rPr>
          <w:b/>
          <w:bCs/>
          <w:color w:val="1F3864"/>
          <w:sz w:val="26"/>
          <w:szCs w:val="26"/>
        </w:rPr>
        <w:t xml:space="preserve">Net Assessment</w:t>
      </w:r>
    </w:p>
    <w:p>
      <w:pPr>
        <w:spacing w:after="120" w:line="300"/>
      </w:pPr>
      <w:r>
        <w:t xml:space="preserve">Architecture 4 is a defensible engineering bet with identifiable, bounded risks. The 1993 DOE program's broad ‘unresolved technical issues’ do not apply — Architecture 4's risks are specific and addressable through a structured development program. The strategic case depends on customer-facing market validation in Stage 1 and on cost discipline in Stage 2-3 to keep FOAK capex within the $2,000–3,500/kWe landing zone.</w:t>
      </w:r>
    </w:p>
    <w:p>
      <w:pPr>
        <w:spacing w:after="120" w:line="300"/>
      </w:pPr>
      <w:r>
        <w:t xml:space="preserve">This synthesis derives from a four-phase prior art landscape covering: 9 direct heritage entries, 6 supporting work entries, 7 disrupting work entries, 6 adjacent inspirational entries, plus 24 cross-cutting register items spanning the broader Aurora technology set. The full prior art document accompanies this synthesis as a working reference.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Page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Aurora Architecture 4 — Prior Art Synthesis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libri" w:cs="Calibri" w:eastAsia="Calibri" w:hAnsi="Calibri"/>
      <w:b/>
      <w:bCs/>
      <w:color w:val="2E5984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libri" w:cs="Calibri" w:eastAsia="Calibri" w:hAnsi="Calibri"/>
      <w:b/>
      <w:bCs/>
      <w:color w:val="2E598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4 Prior Art Synthesis</dc:title>
  <dc:creator>Aurora MHD Project</dc:creator>
  <cp:lastModifiedBy>Un-named</cp:lastModifiedBy>
  <cp:revision>1</cp:revision>
  <dcterms:created xsi:type="dcterms:W3CDTF">2026-05-05T23:39:10.653Z</dcterms:created>
  <dcterms:modified xsi:type="dcterms:W3CDTF">2026-05-05T23:39:10.672Z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