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200"/>
        <w:jc w:val="center"/>
      </w:pPr>
      <w:r>
        <w:rPr>
          <w:b/>
          <w:bCs/>
          <w:color w:val="7A4F1F"/>
          <w:sz w:val="36"/>
          <w:szCs w:val="36"/>
        </w:rPr>
        <w:t xml:space="preserve">Aurora MHD Technology Set</w:t>
      </w:r>
    </w:p>
    <w:p>
      <w:pPr>
        <w:spacing w:after="240"/>
        <w:jc w:val="center"/>
      </w:pPr>
      <w:r>
        <w:rPr>
          <w:b/>
          <w:bCs/>
          <w:color w:val="B8742B"/>
          <w:sz w:val="32"/>
          <w:szCs w:val="32"/>
        </w:rPr>
        <w:t xml:space="preserve">Architecture 2 — Aurora-Primary Multi-Pass Faraday</w:t>
      </w:r>
    </w:p>
    <w:p>
      <w:pPr>
        <w:spacing w:after="120"/>
        <w:jc w:val="center"/>
      </w:pPr>
      <w:r>
        <w:rPr>
          <w:i/>
          <w:iCs/>
          <w:color w:val="B8742B"/>
          <w:sz w:val="26"/>
          <w:szCs w:val="26"/>
        </w:rPr>
        <w:t xml:space="preserve">(50–60 MW Stationary, SC-NH₃, 18 MPa, 15 T, 3-Pass Toroidal)</w:t>
      </w:r>
    </w:p>
    <w:p>
      <w:pPr>
        <w:spacing w:after="480"/>
        <w:jc w:val="center"/>
      </w:pPr>
      <w:r>
        <w:rPr>
          <w:i/>
          <w:iCs/>
          <w:color w:val="404040"/>
          <w:sz w:val="28"/>
          <w:szCs w:val="28"/>
        </w:rPr>
        <w:t xml:space="preserve">Prior Art Synthesis &amp; Strategic Position</w:t>
      </w:r>
    </w:p>
    <w:p>
      <w:pPr>
        <w:spacing w:after="1200"/>
        <w:jc w:val="center"/>
      </w:pPr>
      <w:r>
        <w:rPr>
          <w:color w:val="808080"/>
          <w:sz w:val="20"/>
          <w:szCs w:val="20"/>
        </w:rPr>
        <w:t xml:space="preserve">Working document — internal use</w:t>
      </w:r>
    </w:p>
    <w:p>
      <w:pPr>
        <w:pStyle w:val="Heading1"/>
      </w:pPr>
      <w:r>
        <w:t xml:space="preserve">1. Executive Summary</w:t>
      </w:r>
    </w:p>
    <w:p>
      <w:pPr>
        <w:spacing w:after="120" w:line="300"/>
      </w:pPr>
      <w:r>
        <w:t xml:space="preserve">Architecture 2 is a 50-60 MW stationary multi-pass Faraday MHD generator. A rectangular toroidal duct (0.5 × 0.3 × 2 m) configured for 3-pass recirculation (~6 m effective channel length) processes supercritical ammonia (SC-NH₃) working fluid at 18 MPa through a 15 T poloidal HTS magnetic field. Power extraction is via classical Faraday topology with σ = 500-1000 S/m design target sustained via dissolved alkali salts in SC-NH₃.</w:t>
      </w:r>
    </w:p>
    <w:p>
      <w:pPr>
        <w:spacing w:after="120" w:line="300"/>
      </w:pPr>
      <w:r>
        <w:t xml:space="preserve">The system integrates with AmmoBurst chemistry — NH₃ ↔ N₂ + 3H₂ thermal loop coupled with the MHD generator's waste heat — providing dual power and clean hydrogen revenue streams. Architecture 2 sits at the intersection of three heritage threads: classical Faraday MHD heritage (U-25 75 MWe, Avco Mark V/VI/VII 1,000+ hours, CDIF 50 MWt), modern industrial supercritical fluid commercial deployment (sCO₂ via STEP Demo, NET Power Allam Cycle), and the global ammonia industrial economy (Haber-Bosch + modern green ammonia commercial 2025).</w:t>
      </w:r>
    </w:p>
    <w:p>
      <w:pPr>
        <w:spacing w:after="120" w:line="300"/>
      </w:pPr>
      <w:r>
        <w:t xml:space="preserve">The four-phase prior art exercise establishes that Architecture 2 has the strongest technical foundation of any Aurora architecture combined with the most challenging disrupting facts related to commercial viability. Eight specific risks remain, five of which require pre-hardware analytical resolution before any Stage 2 hardware commitment. Modern adjacent advances — particularly the IRA Section 45V Clean Hydrogen Production Tax Credit ($3/kg, finalized January 2025) and the AI/data center power demand boom ($90-100/MWh PPA pricing for firm clean baseload) — have fundamentally transformed Architecture 2's commercial environment from the 1993 DOE termination context.</w:t>
      </w:r>
    </w:p>
    <w:p>
      <w:pPr>
        <w:spacing w:after="120" w:line="300"/>
      </w:pPr>
      <w:r>
        <w:t xml:space="preserve">The recommended primary end-state is Path 1: Data Center Co-Located Firm Clean Baseload + Hydrogen, with Path 2 (industrial-scale dispatchable) as parallel secondary track. Architecture 2's case rests not primarily on technical novelty but on commercial environment transformation. The technology is largely the same as 1993 (with engineering improvements); the commercial environment is unrecognizable. Aurora's case must articulate that this commercial transformation is sufficient to flip the FOAK economics that ended heritage programs.</w:t>
      </w:r>
    </w:p>
    <w:p>
      <w:pPr>
        <w:pStyle w:val="Heading1"/>
      </w:pPr>
      <w:r>
        <w:t xml:space="preserve">2. Defensible Technical Claims</w:t>
      </w:r>
    </w:p>
    <w:p>
      <w:pPr>
        <w:spacing w:after="120" w:line="300"/>
      </w:pPr>
      <w:r>
        <w:t xml:space="preserve">The claims below can be defended with reference to documented prior art.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20"/>
                <w:szCs w:val="20"/>
              </w:rPr>
              <w:t xml:space="preserve">Claim</w:t>
            </w:r>
          </w:p>
        </w:tc>
        <w:tc>
          <w:tcPr>
            <w:tcW w:type="dxa" w:w="636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20"/>
                <w:szCs w:val="20"/>
              </w:rPr>
              <w:t xml:space="preserve">Evidence and Caveat</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Faraday MHD physics is the most operationally validated of any Aurora architecture</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60+ years cumulative operational research. U-25: 75 MWe operational, 250+ hours. Avco Mark V/VI/VII: 1,000+ hours operational. CDIF: 50 MWt integrated, 4,000+ test hours. Tokyo Tech disk: 1 MWe pulsed. ENEA disk: sub-MW operational. Westinghouse ECAS: comprehensive analytical work. Caveat: heritage validated physics; commercial step consistently missed. Architecture 2 inherits validated physics AND termination risk patterns.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18 MPa pressure containment supply chain is commercially mature</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STEP Demo $169M, 10 MWe sCO₂ pilot completed Phase 1 testing Oct 2024. NET Power 300 MWe Allam Cycle plant near Odessa with Baker Hughes turboexpander in final assembly 2025. Echogen 7.2 MW commercial waste heat recovery. Sandia engineering-scale sCO₂ Brayton operational. Caveat: pressure-side technology is commercial; integration with SC-NH₃ + plasma + 15 T HTS is novel system engineering.</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Ammonia chemistry integration is industrially mature</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Haber-Bosch 100+ years continuous deployment (&gt;170M tonnes/year global). Modern green ammonia commercial 2025: NEOM $8.4B, Yara, CF Industries, FuelPositive modular. Distributed production model emerging. Caveat: AmmoBurst parasitic power balance closure is unique Architecture 2 question; chemistry heritage doesn't fully validate thermal-MHD coupling economics.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Modern HTS magnets retire the 15 T magnet capability constraint</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Same as CC-21, CC-30. CFS at 20 T, Tokamak Energy at 26.2 T commercial supply. Architecture 2's poloidal-only configuration simpler than tokamak toroidal+poloidal. Conduction-cooled HTS at 40 K validated. Caveat: HTS-cryostat-pressure-vessel boundary at 18 MPa NH₃ is novel engineering integration.</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45V Clean Hydrogen Production Tax Credit creates dual revenue stream uniquely available to Architecture 2</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IRA Section 45V finalized January 3, 2025. Up to $3/kg clean hydrogen for 10 years. DOE Hydrogen Hubs $7B + Demand-Side $1B. Architecture 2 + AmmoBurst potentially produces 1,000-2,000 tonnes/year H₂ → $3-6M/year credit → $30-60M over 10 years. Among Aurora architectures, only Architecture 2 has clean hydrogen production pathway via AmmoBurst.</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AI/data center demand creates premium-priced firm clean baseload market matched to Architecture 2 modular scale</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Vistra Comanche Peak benchmark: 1,200 MW at $90-100/MWh for 20 years. Hyperscalers signing 43% of all clean energy PPAs in 2024. PPA prices up 35% in 2024. 60-120 GW additional demand by 2030. Texas SB6 enables co-location. Architecture 2's 50-60 MW modular scale matches hyperscaler campus blocks. Caveat: AI demand growth has wide uncertainty bands.</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Modern multiphysics CFD captures the relevant physics for multi-pass design</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Marzouk OpenFOAM-MHD validated against Sakhalin pulsed MHD operational data. mhdMRF multi-region OpenFOAM solver (Hefei 2025). Princeton HYM, COMSOL, ANSYS Fluent multi-physics capability. Heritage programs operated without operational multiphysics CFD; their σ projection vs operational gap was empirical surprise. Caveat: CFD enables better design but doesn't substitute for Stage 2-3 operational validation.</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Modern aerospace AM enables complex multi-pass ducting geometry</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Same as CC-24, CC-41. NASA RAMPT 102 cm × 97 cm with integrated channels in 30 days. Refractory metal AM (Mo, W, Ta) commercially available. Cellcore demonstrations. Caveat: Multi-pass turning hardware + 3-pass rectangular toroidal at 18 MPa NH₃ is novel integration.</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AI/ML real-time plasma + chemistry control manages stacked novelty parameter space</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CC-56. Seo et al. (Nature 2024) DRL avoids tearing instabilities with 117% improvement vs historical. FPGA-deployed ML at HBT-EP for microsecond-latency MHD instability tracking. Caveat: AI/ML control demonstrated on tokamaks; transfer to plasma + chemistry coupling requires adaptation.</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Aurora cross-architecture leverage materially reduces incremental Architecture 2 cost</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CC-75. Cross-cutting work shared across HTS magnets, AM, AI/ML plasma control, σ characterization, materials testing, multiphysics CFD, pulsed power. Incremental Architecture 2 cost (after cross-cutting allocation) estimated $100-300M vs total $235-600M. Caveat: requires coordinated Aurora development; if other architectures don't proceed, Architecture 2 absorbs full cross-cutting cost.</w:t>
            </w:r>
          </w:p>
        </w:tc>
      </w:tr>
    </w:tbl>
    <w:p>
      <w:pPr>
        <w:pStyle w:val="Heading1"/>
      </w:pPr>
      <w:r>
        <w:t xml:space="preserve">3. Acknowledged Risks</w:t>
      </w:r>
    </w:p>
    <w:p>
      <w:pPr>
        <w:spacing w:after="120" w:line="300"/>
      </w:pPr>
      <w:r>
        <w:t xml:space="preserve">Eight specific risks remain after prior art retirement work. Five involve fundamental physics or operational regimes that 60 years of focused research have not definitively answered. Five require pre-hardware analytical resolution before Stage 2 commitment — disproportionately focused on commercial viability questions rather than technical feasibility (which heritage already validates).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20"/>
                <w:szCs w:val="20"/>
              </w:rPr>
              <w:t xml:space="preserve">Risk</w:t>
            </w:r>
          </w:p>
        </w:tc>
        <w:tc>
          <w:tcPr>
            <w:tcW w:type="dxa" w:w="636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20"/>
                <w:szCs w:val="20"/>
              </w:rPr>
              <w:t xml:space="preserve">Evidence and Retirement Path</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Risk 1 — σ Scale-Up Gap for SC-NH₃ (HIGHEST PRIORITY)</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CC-68. Documented σ = 200-1000 S/m at small scale (mL-L volumes). Metallization regime requires 350 GPa, 40,000 K — far beyond Architecture 2's 18 MPa. 3-4 orders of magnitude scale-up to MHD-channel volumes never demonstrated. Heritage Faraday MHD pattern: 30-50% theoretical σ at scale; if SC-NH₃ exhibits similar, σ at operational scale could be 150-500 S/m vs target 500-1000. Retired by: σ scale-up analysis from research-mL through 1L → 100L → MHD-channel scale, benchmarked against heritage. STAGE 1 PRE-HARDWARE DELIVERABLE #1.</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Risk 2 — Multi-Pass Faraday Operational Deployment Never Demonstrated</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CC-60. Theoretically analyzed since 1960s; no operational MWe-scale multi-pass Faraday MHD generator has ever been built. Heritage operational programs (U-25, Avco, CDIF) used single-pass or disk topology. Recirculation aerodynamics, pass-by-pass σ degradation, ducting cost penalty are real concerns. Retired by: multi-pass aerodynamic loss budget — 3D CFD with rigorous recirculation pressure drop, pass-by-pass σ degradation, full economic comparison vs single-pass and 2-pass. STAGE 1 PRE-HARDWARE DELIVERABLE #2.</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Risk 3 — Materials Compatibility at 5 Simultaneous Degradation Environments</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Architecture 2 stacks five materials environments simultaneously: 18 MPa pressure containment, SC-NH₃ corrosion, high-velocity plasma erosion (6 km/s), magnetostatic structural loading (15 T), plasma-electrode interface degradation. NH₃ corrosion of steels documented; SC-NH₃ specific data scarce; plasma-NH₃ electrode recession requirement &lt;0.3 μm/hr per Wiley Adv Mater 2025. Retired by: materials selection and compatibility characterization — explicit evaluation against five degradation environments simultaneously. STAGE 1 PRE-HARDWARE DELIVERABLE #3.</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Risk 4 — AmmoBurst Parasitic Power Balance Closure (parallel to AJAX CC-35, plasma toroid CC-55)</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CC-69. AmmoBurst adds thermodynamic value (waste heat recovery, hydrogen value) AND parasitic cost (chemistry capex, catalyst, control complexity, re-synthesis energy, specific energy consumption 1-3 MJ/mol vs theoretical 0.2 MJ/mol). Net contribution closure unverified. Structurally analogous to Architecture 1 AJAX (CC-35) and Architecture 3 plasma toroid (CC-55). Retired by: AmmoBurst power balance closure — thermodynamic, economic, operational analysis with explicit comparison to no-AmmoBurst configuration. Bruno-Czysz framework (CC-31) extended to chemistry-coupled MHD. STAGE 1 PRE-HARDWARE DELIVERABLE #4.</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Risk 5 — FOAK Capex Inheritance from 1993 DOE Termination Context</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Heritage programs ($300-500M U-25, $200-400M Avco, $100-200M CDIF, $150-300M ECAS) spent comparable or more than Aurora's projected $235-600M Architecture 2 budget — and failed to commercialize. 1993 DOE termination rationale (electrode lifetime, σ scale-down, Cs handling, FOAK capex) still applies at physics level. Retired by: FOAK economic comparison to 1993 DOE termination context — explicit accounting of what's different and what's similar. Modern HTS + AM + sCO₂ + 45V + AI/data center pricing aggregate analysis. Strategic partner FOAK risk-sharing engagement. STAGE 1 PRE-HARDWARE DELIVERABLE #5.</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Risk 6 — Stacked Novelty Engineering Risk</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CC-71. Six stacked innovations: multi-pass + SC-NH₃ + 18 MPa + 15 T HTS + AmmoBurst + σ target. Multiplicative integration risk: 0.8⁶ = 26% if each is 80% probable. Materially higher stacking than other Aurora architectures (1-3 stacked novelties). Retired by: minimum viable Architecture 2 fallback configuration definition (single-pass + SC-NH₃ + AmmoBurst as fallback). Stage 1 multiphysics CFD must explicitly model innovation interactions. AI/ML control architecture manages parameter space.</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Risk 7 — 45V Credit Policy Stability</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IRA Section 45V finalized January 3, 2025; Trump administration review of final rules ongoing. Federal incentive policy correlated with political cycles. JCT projects $7.2B federal revenue impact through FY2028 — significant enough to attract policy attention. Retired by: Stage 1 economic sensitivity analysis to 45V credit reduction or removal scenarios. Architecture 2 economics should be viable at $1.50/kg credit (50% reduction) and acceptable at zero credit (with reduced IRR). 45V is upside, not core requirement.</w:t>
            </w:r>
          </w:p>
        </w:tc>
      </w:tr>
      <w:tr>
        <w:tc>
          <w:tcPr>
            <w:tcW w:type="dxa" w:w="30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Risk 8 — AI/Data Center Demand Growth Uncertainty</w:t>
            </w:r>
          </w:p>
        </w:tc>
        <w:tc>
          <w:tcPr>
            <w:tcW w:type="dxa" w:w="63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sz w:val="20"/>
                <w:szCs w:val="20"/>
              </w:rPr>
              <w:t xml:space="preserve">CC-73. 120 GW additional demand by 2030 forecasts have wide uncertainty bands. Constellation CEO Dominguez: 'I think the load is being overstated.' Hyperscaler PPA pricing may moderate. Texas SB6-style reforms may not generalize. Retired by: Stage 1 economic sensitivity analysis to PPA pricing scenarios ($60-100/MWh range). Architecture 2 viable at $70/MWh, attractive at $90/MWh. Path 2 (industrial-scale) and Path 3 (utility-scale) provide commercial diversification.</w:t>
            </w:r>
          </w:p>
        </w:tc>
      </w:tr>
    </w:tbl>
    <w:p>
      <w:pPr>
        <w:pStyle w:val="Heading1"/>
      </w:pPr>
      <w:r>
        <w:t xml:space="preserve">4. Risk Retirement Development Plan</w:t>
      </w:r>
    </w:p>
    <w:p>
      <w:pPr>
        <w:spacing w:after="120" w:line="300"/>
      </w:pPr>
      <w:r>
        <w:t xml:space="preserve">Sequenced development program with five pre-hardware analytical deliverables disproportionately focused on commercial viability questions.</w:t>
      </w:r>
    </w:p>
    <w:p>
      <w:pPr>
        <w:pStyle w:val="Heading3"/>
      </w:pPr>
      <w:r>
        <w:t xml:space="preserve">Stage 0 — Strategic Foundation (months 0–3, ~$0.5M)</w:t>
      </w:r>
    </w:p>
    <w:p>
      <w:pPr>
        <w:pStyle w:val="ListParagraph"/>
        <w:numPr>
          <w:ilvl w:val="0"/>
          <w:numId w:val="2"/>
        </w:numPr>
        <w:spacing w:after="80"/>
      </w:pPr>
      <w:r>
        <w:t xml:space="preserve">End-state choice with documented rationale (Risk 7 + 8) — recommended Path 1: data center co-located firm clean baseload + hydrogen</w:t>
      </w:r>
    </w:p>
    <w:p>
      <w:pPr>
        <w:pStyle w:val="ListParagraph"/>
        <w:numPr>
          <w:ilvl w:val="0"/>
          <w:numId w:val="2"/>
        </w:numPr>
        <w:spacing w:after="80"/>
      </w:pPr>
      <w:r>
        <w:t xml:space="preserve">45V credit qualification analysis — DOE 45VH2-GREET lifecycle modeling</w:t>
      </w:r>
    </w:p>
    <w:p>
      <w:pPr>
        <w:pStyle w:val="ListParagraph"/>
        <w:numPr>
          <w:ilvl w:val="0"/>
          <w:numId w:val="2"/>
        </w:numPr>
        <w:spacing w:after="80"/>
      </w:pPr>
      <w:r>
        <w:t xml:space="preserve">DOE Hydrogen Hubs program engagement</w:t>
      </w:r>
    </w:p>
    <w:p>
      <w:pPr>
        <w:pStyle w:val="ListParagraph"/>
        <w:numPr>
          <w:ilvl w:val="0"/>
          <w:numId w:val="2"/>
        </w:numPr>
        <w:spacing w:after="80"/>
      </w:pPr>
      <w:r>
        <w:t xml:space="preserve">Hyperscaler engagement (Google, Meta, Microsoft, Amazon technology scouting)</w:t>
      </w:r>
    </w:p>
    <w:p>
      <w:pPr>
        <w:pStyle w:val="ListParagraph"/>
        <w:numPr>
          <w:ilvl w:val="0"/>
          <w:numId w:val="2"/>
        </w:numPr>
        <w:spacing w:after="80"/>
      </w:pPr>
      <w:r>
        <w:t xml:space="preserve">IP landscape review — multi-pass topology, SC-NH₃ + alkali σ approach, AmmoBurst chemistry coupling</w:t>
      </w:r>
    </w:p>
    <w:p>
      <w:pPr>
        <w:pStyle w:val="ListParagraph"/>
        <w:numPr>
          <w:ilvl w:val="0"/>
          <w:numId w:val="2"/>
        </w:numPr>
        <w:spacing w:after="80"/>
      </w:pPr>
      <w:r>
        <w:t xml:space="preserve">Aurora cross-architecture coordination — formalize cross-cutting work allocation per CC-75</w:t>
      </w:r>
    </w:p>
    <w:p>
      <w:pPr>
        <w:pStyle w:val="ListParagraph"/>
        <w:numPr>
          <w:ilvl w:val="0"/>
          <w:numId w:val="2"/>
        </w:numPr>
        <w:spacing w:after="80"/>
      </w:pPr>
      <w:r>
        <w:t xml:space="preserve">Strategic partner engagement (utility, hyperscaler, hydrogen offtake) for FOAK risk-sharing</w:t>
      </w:r>
    </w:p>
    <w:p>
      <w:pPr>
        <w:pStyle w:val="Heading3"/>
      </w:pPr>
      <w:r>
        <w:t xml:space="preserve">Stage 1 — Analytical Risk Retirement (months 3–9, ~$1.5–2.5M)</w:t>
      </w:r>
    </w:p>
    <w:p>
      <w:pPr>
        <w:spacing w:after="120" w:line="300"/>
      </w:pPr>
      <w:r>
        <w:t xml:space="preserve">The five pre-hardware deliverables (Phase 3):</w:t>
      </w:r>
    </w:p>
    <w:p>
      <w:pPr>
        <w:pStyle w:val="ListParagraph"/>
        <w:numPr>
          <w:ilvl w:val="0"/>
          <w:numId w:val="2"/>
        </w:numPr>
        <w:spacing w:after="80"/>
      </w:pPr>
      <w:r>
        <w:t xml:space="preserve">σ scale-up analysis characterizing SC-NH₃ σ from research-mL through 1L → 100L → MHD-channel scale, with explicit treatment of scale-down factor; benchmarked against heritage Faraday MHD pattern. (Risk 1)</w:t>
      </w:r>
    </w:p>
    <w:p>
      <w:pPr>
        <w:pStyle w:val="ListParagraph"/>
        <w:numPr>
          <w:ilvl w:val="0"/>
          <w:numId w:val="2"/>
        </w:numPr>
        <w:spacing w:after="80"/>
      </w:pPr>
      <w:r>
        <w:t xml:space="preserve">Multi-pass aerodynamic loss budget — 3D CFD with rigorous recirculation pressure drop, pass-by-pass σ degradation, full economic comparison vs single-pass and 2-pass. (Risk 2)</w:t>
      </w:r>
    </w:p>
    <w:p>
      <w:pPr>
        <w:pStyle w:val="ListParagraph"/>
        <w:numPr>
          <w:ilvl w:val="0"/>
          <w:numId w:val="2"/>
        </w:numPr>
        <w:spacing w:after="80"/>
      </w:pPr>
      <w:r>
        <w:t xml:space="preserve">Materials selection and compatibility characterization — explicit evaluation against five degradation environments simultaneously. (Risk 3)</w:t>
      </w:r>
    </w:p>
    <w:p>
      <w:pPr>
        <w:pStyle w:val="ListParagraph"/>
        <w:numPr>
          <w:ilvl w:val="0"/>
          <w:numId w:val="2"/>
        </w:numPr>
        <w:spacing w:after="80"/>
      </w:pPr>
      <w:r>
        <w:t xml:space="preserve">AmmoBurst power balance closure — thermodynamic, economic, and operational analysis with explicit comparison to no-AmmoBurst configuration. (Risk 4)</w:t>
      </w:r>
    </w:p>
    <w:p>
      <w:pPr>
        <w:pStyle w:val="ListParagraph"/>
        <w:numPr>
          <w:ilvl w:val="0"/>
          <w:numId w:val="2"/>
        </w:numPr>
        <w:spacing w:after="80"/>
      </w:pPr>
      <w:r>
        <w:t xml:space="preserve">FOAK economic comparison to 1993 DOE termination context — explicit accounting of what's different and similar; modern adjacency aggregate analysis. (Risk 5)</w:t>
      </w:r>
    </w:p>
    <w:p>
      <w:pPr>
        <w:spacing w:after="120" w:line="300"/>
      </w:pPr>
      <w:r>
        <w:t xml:space="preserve">Plus parallel work:</w:t>
      </w:r>
    </w:p>
    <w:p>
      <w:pPr>
        <w:pStyle w:val="ListParagraph"/>
        <w:numPr>
          <w:ilvl w:val="0"/>
          <w:numId w:val="2"/>
        </w:numPr>
        <w:spacing w:after="80"/>
      </w:pPr>
      <w:r>
        <w:t xml:space="preserve">Marzouk OpenFOAM-MHD solver adaptation for Architecture 2 multi-pass geometry</w:t>
      </w:r>
    </w:p>
    <w:p>
      <w:pPr>
        <w:pStyle w:val="ListParagraph"/>
        <w:numPr>
          <w:ilvl w:val="0"/>
          <w:numId w:val="2"/>
        </w:numPr>
        <w:spacing w:after="80"/>
      </w:pPr>
      <w:r>
        <w:t xml:space="preserve">Cross-architecture coordination on HTS, AM, AI/ML plasma control, σ characterization frameworks</w:t>
      </w:r>
    </w:p>
    <w:p>
      <w:pPr>
        <w:pStyle w:val="ListParagraph"/>
        <w:numPr>
          <w:ilvl w:val="0"/>
          <w:numId w:val="2"/>
        </w:numPr>
        <w:spacing w:after="80"/>
      </w:pPr>
      <w:r>
        <w:t xml:space="preserve">45V credit detailed economic modeling under multiple scenarios</w:t>
      </w:r>
    </w:p>
    <w:p>
      <w:pPr>
        <w:pStyle w:val="ListParagraph"/>
        <w:numPr>
          <w:ilvl w:val="0"/>
          <w:numId w:val="2"/>
        </w:numPr>
        <w:spacing w:after="80"/>
      </w:pPr>
      <w:r>
        <w:t xml:space="preserve">Hyperscaler PPA pricing sensitivity analysis ($60-100/MWh range)</w:t>
      </w:r>
    </w:p>
    <w:p>
      <w:pPr>
        <w:pStyle w:val="ListParagraph"/>
        <w:numPr>
          <w:ilvl w:val="0"/>
          <w:numId w:val="2"/>
        </w:numPr>
        <w:spacing w:after="80"/>
      </w:pPr>
      <w:r>
        <w:t xml:space="preserve">DOE Hydrogen Hubs program application or partnership development</w:t>
      </w:r>
    </w:p>
    <w:p>
      <w:pPr>
        <w:pStyle w:val="Heading3"/>
      </w:pPr>
      <w:r>
        <w:t xml:space="preserve">Stage 1.5 — GO/NO-GO Decision Gate (month 9)</w:t>
      </w:r>
    </w:p>
    <w:p>
      <w:pPr>
        <w:pStyle w:val="ListParagraph"/>
        <w:numPr>
          <w:ilvl w:val="0"/>
          <w:numId w:val="2"/>
        </w:numPr>
        <w:spacing w:after="80"/>
      </w:pPr>
      <w:r>
        <w:t xml:space="preserve">Decision based on Stage 1 analytical results — five deliverables collectively</w:t>
      </w:r>
    </w:p>
    <w:p>
      <w:pPr>
        <w:pStyle w:val="ListParagraph"/>
        <w:numPr>
          <w:ilvl w:val="0"/>
          <w:numId w:val="2"/>
        </w:numPr>
        <w:spacing w:after="80"/>
      </w:pPr>
      <w:r>
        <w:t xml:space="preserve">Favorable: σ scale-up margin + FOAK structural advantages + AmmoBurst positive balance → proceed to Stage 2</w:t>
      </w:r>
    </w:p>
    <w:p>
      <w:pPr>
        <w:pStyle w:val="ListParagraph"/>
        <w:numPr>
          <w:ilvl w:val="0"/>
          <w:numId w:val="2"/>
        </w:numPr>
        <w:spacing w:after="80"/>
      </w:pPr>
      <w:r>
        <w:t xml:space="preserve">Marginal: configuration revision (single-pass fallback, modified AmmoBurst, alternative σ approach)</w:t>
      </w:r>
    </w:p>
    <w:p>
      <w:pPr>
        <w:pStyle w:val="ListParagraph"/>
        <w:numPr>
          <w:ilvl w:val="0"/>
          <w:numId w:val="2"/>
        </w:numPr>
        <w:spacing w:after="80"/>
      </w:pPr>
      <w:r>
        <w:t xml:space="preserve">Unfavorable: Architecture 2 termination with technology IP transfer to fusion/hydrogen ecosystem partners — acceptable outcome</w:t>
      </w:r>
    </w:p>
    <w:p>
      <w:pPr>
        <w:pStyle w:val="ListParagraph"/>
        <w:numPr>
          <w:ilvl w:val="0"/>
          <w:numId w:val="2"/>
        </w:numPr>
        <w:spacing w:after="80"/>
      </w:pPr>
      <w:r>
        <w:t xml:space="preserve">Less pronounced GO/NO-GO than Architecture 3's gate, but still a real decision point</w:t>
      </w:r>
    </w:p>
    <w:p>
      <w:pPr>
        <w:pStyle w:val="Heading3"/>
      </w:pPr>
      <w:r>
        <w:t xml:space="preserve">Stage 2 — Component-Level Validation (months 9–30, ~$5–15M)</w:t>
      </w:r>
    </w:p>
    <w:p>
      <w:pPr>
        <w:pStyle w:val="ListParagraph"/>
        <w:numPr>
          <w:ilvl w:val="0"/>
          <w:numId w:val="2"/>
        </w:numPr>
        <w:spacing w:after="80"/>
      </w:pPr>
      <w:r>
        <w:t xml:space="preserve">Sub-scale (kW-class) SC-NH₃ + plasma σ characterization in high-pressure cell</w:t>
      </w:r>
    </w:p>
    <w:p>
      <w:pPr>
        <w:pStyle w:val="ListParagraph"/>
        <w:numPr>
          <w:ilvl w:val="0"/>
          <w:numId w:val="2"/>
        </w:numPr>
        <w:spacing w:after="80"/>
      </w:pPr>
      <w:r>
        <w:t xml:space="preserve">Multi-pass aerodynamic sub-scale validation (cold-flow then hot-flow)</w:t>
      </w:r>
    </w:p>
    <w:p>
      <w:pPr>
        <w:pStyle w:val="ListParagraph"/>
        <w:numPr>
          <w:ilvl w:val="0"/>
          <w:numId w:val="2"/>
        </w:numPr>
        <w:spacing w:after="80"/>
      </w:pPr>
      <w:r>
        <w:t xml:space="preserve">Materials test campaign in 5 simultaneous degradation environments</w:t>
      </w:r>
    </w:p>
    <w:p>
      <w:pPr>
        <w:pStyle w:val="ListParagraph"/>
        <w:numPr>
          <w:ilvl w:val="0"/>
          <w:numId w:val="2"/>
        </w:numPr>
        <w:spacing w:after="80"/>
      </w:pPr>
      <w:r>
        <w:t xml:space="preserve">AM-fabricated multi-pass ducting prototype validation</w:t>
      </w:r>
    </w:p>
    <w:p>
      <w:pPr>
        <w:pStyle w:val="ListParagraph"/>
        <w:numPr>
          <w:ilvl w:val="0"/>
          <w:numId w:val="2"/>
        </w:numPr>
        <w:spacing w:after="80"/>
      </w:pPr>
      <w:r>
        <w:t xml:space="preserve">AmmoBurst chemistry integration sub-scale demonstration</w:t>
      </w:r>
    </w:p>
    <w:p>
      <w:pPr>
        <w:pStyle w:val="ListParagraph"/>
        <w:numPr>
          <w:ilvl w:val="0"/>
          <w:numId w:val="2"/>
        </w:numPr>
        <w:spacing w:after="80"/>
      </w:pPr>
      <w:r>
        <w:t xml:space="preserve">HTS magnet integration with high-pressure cryostat boundary</w:t>
      </w:r>
    </w:p>
    <w:p>
      <w:pPr>
        <w:pStyle w:val="ListParagraph"/>
        <w:numPr>
          <w:ilvl w:val="0"/>
          <w:numId w:val="2"/>
        </w:numPr>
        <w:spacing w:after="80"/>
      </w:pPr>
      <w:r>
        <w:t xml:space="preserve">AI/ML control architecture transfer from tokamak heritage</w:t>
      </w:r>
    </w:p>
    <w:p>
      <w:pPr>
        <w:pStyle w:val="Heading3"/>
      </w:pPr>
      <w:r>
        <w:t xml:space="preserve">Stage 3 — Sub-Scale Integrated Demonstrator (months 30–60, ~$30–80M)</w:t>
      </w:r>
    </w:p>
    <w:p>
      <w:pPr>
        <w:pStyle w:val="ListParagraph"/>
        <w:numPr>
          <w:ilvl w:val="0"/>
          <w:numId w:val="2"/>
        </w:numPr>
        <w:spacing w:after="80"/>
      </w:pPr>
      <w:r>
        <w:t xml:space="preserve">5-15 MW class Architecture 2 demonstrator integrating all six innovations</w:t>
      </w:r>
    </w:p>
    <w:p>
      <w:pPr>
        <w:pStyle w:val="ListParagraph"/>
        <w:numPr>
          <w:ilvl w:val="0"/>
          <w:numId w:val="2"/>
        </w:numPr>
        <w:spacing w:after="80"/>
      </w:pPr>
      <w:r>
        <w:t xml:space="preserve">Validates: σ at MHD-channel scale, multi-pass operation, materials durability, AmmoBurst integration, full power balance, AI/ML control efficacy</w:t>
      </w:r>
    </w:p>
    <w:p>
      <w:pPr>
        <w:pStyle w:val="ListParagraph"/>
        <w:numPr>
          <w:ilvl w:val="0"/>
          <w:numId w:val="2"/>
        </w:numPr>
        <w:spacing w:after="80"/>
      </w:pPr>
      <w:r>
        <w:t xml:space="preserve">Operational reliability over 1,000+ hour campaigns</w:t>
      </w:r>
    </w:p>
    <w:p>
      <w:pPr>
        <w:pStyle w:val="ListParagraph"/>
        <w:numPr>
          <w:ilvl w:val="0"/>
          <w:numId w:val="2"/>
        </w:numPr>
        <w:spacing w:after="80"/>
      </w:pPr>
      <w:r>
        <w:t xml:space="preserve">45V credit qualification demonstration</w:t>
      </w:r>
    </w:p>
    <w:p>
      <w:pPr>
        <w:pStyle w:val="Heading3"/>
      </w:pPr>
      <w:r>
        <w:t xml:space="preserve">Stage 4 — Operational Pilot (months 60–120, $200–500M)</w:t>
      </w:r>
    </w:p>
    <w:p>
      <w:pPr>
        <w:pStyle w:val="ListParagraph"/>
        <w:numPr>
          <w:ilvl w:val="0"/>
          <w:numId w:val="2"/>
        </w:numPr>
        <w:spacing w:after="80"/>
      </w:pPr>
      <w:r>
        <w:t xml:space="preserve">Path 1 (Data center co-located, recommended primary): 50-60 MW Architecture 2 unit at hyperscaler campus, integrated with AmmoBurst hydrogen production for site fuel cell backup or H₂ export</w:t>
      </w:r>
    </w:p>
    <w:p>
      <w:pPr>
        <w:pStyle w:val="ListParagraph"/>
        <w:numPr>
          <w:ilvl w:val="0"/>
          <w:numId w:val="2"/>
        </w:numPr>
        <w:spacing w:after="80"/>
      </w:pPr>
      <w:r>
        <w:t xml:space="preserve">Path 2 (Industrial-scale dispatchable, parallel secondary): refinery, chemical plant, or industrial park deployment for firm power + industrial H₂ supply</w:t>
      </w:r>
    </w:p>
    <w:p>
      <w:pPr>
        <w:pStyle w:val="ListParagraph"/>
        <w:numPr>
          <w:ilvl w:val="0"/>
          <w:numId w:val="2"/>
        </w:numPr>
        <w:spacing w:after="80"/>
      </w:pPr>
      <w:r>
        <w:t xml:space="preserve">Path 3 (Utility-scale grid-tied, deferred): traditional baseload power generator role; lower revenue per MWh</w:t>
      </w:r>
    </w:p>
    <w:p>
      <w:pPr>
        <w:pStyle w:val="Heading3"/>
      </w:pPr>
      <w:r>
        <w:t xml:space="preserve">Stage 5 — Strategic Exit / Scale (year 10+)</w:t>
      </w:r>
    </w:p>
    <w:p>
      <w:pPr>
        <w:pStyle w:val="ListParagraph"/>
        <w:numPr>
          <w:ilvl w:val="0"/>
          <w:numId w:val="2"/>
        </w:numPr>
        <w:spacing w:after="80"/>
      </w:pPr>
      <w:r>
        <w:t xml:space="preserve">Strategic acquisition or independent scaling</w:t>
      </w:r>
    </w:p>
    <w:p>
      <w:pPr>
        <w:pStyle w:val="ListParagraph"/>
        <w:numPr>
          <w:ilvl w:val="0"/>
          <w:numId w:val="2"/>
        </w:numPr>
        <w:spacing w:after="80"/>
      </w:pPr>
      <w:r>
        <w:t xml:space="preserve">Power-tech valuation benchmarks ($90-100/MWh PPA + 45V credit multipliers)</w:t>
      </w:r>
    </w:p>
    <w:p>
      <w:pPr>
        <w:pStyle w:val="ListParagraph"/>
        <w:numPr>
          <w:ilvl w:val="0"/>
          <w:numId w:val="2"/>
        </w:numPr>
        <w:spacing w:after="80"/>
      </w:pPr>
      <w:r>
        <w:t xml:space="preserve">Multiple-unit hyperscaler deployment</w:t>
      </w:r>
    </w:p>
    <w:p>
      <w:pPr>
        <w:pStyle w:val="Heading1"/>
      </w:pPr>
      <w:r>
        <w:t xml:space="preserve">5. End-State Strategic Choice</w:t>
      </w:r>
    </w:p>
    <w:p>
      <w:pPr>
        <w:spacing w:after="120" w:line="300"/>
      </w:pPr>
      <w:r>
        <w:t xml:space="preserve">Phase 4 surfaced three distinct candidate end-states. The synthesis must choose one as primary.</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1880"/>
        <w:gridCol w:w="1880"/>
        <w:gridCol w:w="1880"/>
        <w:gridCol w:w="1880"/>
        <w:gridCol w:w="1880"/>
      </w:tblGrid>
      <w:tr>
        <w:tc>
          <w:tcPr>
            <w:tcW w:type="dxa" w:w="188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18"/>
                <w:szCs w:val="18"/>
              </w:rPr>
              <w:t xml:space="preserve">Dimension</w:t>
            </w:r>
          </w:p>
        </w:tc>
        <w:tc>
          <w:tcPr>
            <w:tcW w:type="dxa" w:w="188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18"/>
                <w:szCs w:val="18"/>
              </w:rPr>
              <w:t xml:space="preserve">Path 1: Data Center</w:t>
            </w:r>
          </w:p>
        </w:tc>
        <w:tc>
          <w:tcPr>
            <w:tcW w:type="dxa" w:w="188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18"/>
                <w:szCs w:val="18"/>
              </w:rPr>
              <w:t xml:space="preserve">Path 2: Industrial</w:t>
            </w:r>
          </w:p>
        </w:tc>
        <w:tc>
          <w:tcPr>
            <w:tcW w:type="dxa" w:w="188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18"/>
                <w:szCs w:val="18"/>
              </w:rPr>
              <w:t xml:space="preserve">Path 3: Utility</w:t>
            </w:r>
          </w:p>
        </w:tc>
        <w:tc>
          <w:tcPr>
            <w:tcW w:type="dxa" w:w="188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18"/>
                <w:szCs w:val="18"/>
              </w:rPr>
              <w:t xml:space="preserve">Notes</w:t>
            </w:r>
          </w:p>
        </w:tc>
      </w:tr>
      <w:tr>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16"/>
                <w:szCs w:val="16"/>
              </w:rPr>
              <w:t xml:space="preserve">Customer</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Hyperscalers</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Refineries, chemical</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Utilities, IPPs</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Path 1 best timing</w:t>
            </w:r>
          </w:p>
        </w:tc>
      </w:tr>
      <w:tr>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16"/>
                <w:szCs w:val="16"/>
              </w:rPr>
              <w:t xml:space="preserve">Market timing</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Now (boom)</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Stable industrial</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Slow procurement</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Path 1 captures wave</w:t>
            </w:r>
          </w:p>
        </w:tc>
      </w:tr>
      <w:tr>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16"/>
                <w:szCs w:val="16"/>
              </w:rPr>
              <w:t xml:space="preserve">Funding pathway</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Hyperscaler PPA + 45V</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Industrial PPA + 45V</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Utility PPA</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Path 2 stable</w:t>
            </w:r>
          </w:p>
        </w:tc>
      </w:tr>
      <w:tr>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16"/>
                <w:szCs w:val="16"/>
              </w:rPr>
              <w:t xml:space="preserve">PPA pricing</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$90-100/MWh premium</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$60-80/MWh</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$40-60/MWh</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Path 1 premium</w:t>
            </w:r>
          </w:p>
        </w:tc>
      </w:tr>
      <w:tr>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16"/>
                <w:szCs w:val="16"/>
              </w:rPr>
              <w:t xml:space="preserve">45V hydrogen fit</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Excellent (fuel cell backup)</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Excellent (chem feedstock)</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Good (export)</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Both 1, 2 capture</w:t>
            </w:r>
          </w:p>
        </w:tc>
      </w:tr>
      <w:tr>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16"/>
                <w:szCs w:val="16"/>
              </w:rPr>
              <w:t xml:space="preserve">Modular deploy</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Excellent (campus)</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Good (parks)</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Marginal</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Path 1 best fit</w:t>
            </w:r>
          </w:p>
        </w:tc>
      </w:tr>
      <w:tr>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16"/>
                <w:szCs w:val="16"/>
              </w:rPr>
              <w:t xml:space="preserve">Time to revenue</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8-10 yrs</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9-11 yrs</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10-12 yrs</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Path 1 fastest</w:t>
            </w:r>
          </w:p>
        </w:tc>
      </w:tr>
      <w:tr>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16"/>
                <w:szCs w:val="16"/>
              </w:rPr>
              <w:t xml:space="preserve">TAM</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$50-100B</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$30-50B</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$200-500B</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Path 3 largest, slowest</w:t>
            </w:r>
          </w:p>
        </w:tc>
      </w:tr>
      <w:tr>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16"/>
                <w:szCs w:val="16"/>
              </w:rPr>
              <w:t xml:space="preserve">Co-location reg</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Texas SB6 + similar</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Conventional</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Conventional</w:t>
            </w:r>
          </w:p>
        </w:tc>
        <w:tc>
          <w:tcPr>
            <w:tcW w:type="dxa" w:w="18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6"/>
                <w:szCs w:val="16"/>
              </w:rPr>
              <w:t xml:space="preserve">Path 1 favorable</w:t>
            </w:r>
          </w:p>
        </w:tc>
      </w:tr>
    </w:tbl>
    <w:p>
      <w:pPr>
        <w:spacing w:after="120" w:before="240"/>
      </w:pPr>
      <w:r>
        <w:rPr>
          <w:b/>
          <w:bCs/>
          <w:color w:val="7A4F1F"/>
          <w:sz w:val="26"/>
          <w:szCs w:val="26"/>
        </w:rPr>
        <w:t xml:space="preserve">Recommended Primary End-State: Path 1 — Data Center Co-Located Firm Clean Baseload + Hydrogen</w:t>
      </w:r>
    </w:p>
    <w:p>
      <w:pPr>
        <w:spacing w:after="120" w:line="300"/>
      </w:pPr>
      <w:r>
        <w:t xml:space="preserve">The recommendation is based on five factors:</w:t>
      </w:r>
    </w:p>
    <w:p>
      <w:pPr>
        <w:pStyle w:val="ListParagraph"/>
        <w:numPr>
          <w:ilvl w:val="0"/>
          <w:numId w:val="2"/>
        </w:numPr>
        <w:spacing w:after="80"/>
      </w:pPr>
      <w:r>
        <w:t xml:space="preserve">Premium pricing capture — $90-100/MWh PPA pricing supports Architecture 2 capex projections in a way wholesale pricing cannot. This is the single largest commercial advantage Architecture 2 has over heritage programs.</w:t>
      </w:r>
    </w:p>
    <w:p>
      <w:pPr>
        <w:pStyle w:val="ListParagraph"/>
        <w:numPr>
          <w:ilvl w:val="0"/>
          <w:numId w:val="2"/>
        </w:numPr>
        <w:spacing w:after="80"/>
      </w:pPr>
      <w:r>
        <w:t xml:space="preserve">Modular scale match — Architecture 2's 50-60 MW per unit matches data center campus power blocks. Multi-unit deployment scales naturally with hyperscaler procurement patterns.</w:t>
      </w:r>
    </w:p>
    <w:p>
      <w:pPr>
        <w:pStyle w:val="ListParagraph"/>
        <w:numPr>
          <w:ilvl w:val="0"/>
          <w:numId w:val="2"/>
        </w:numPr>
        <w:spacing w:after="80"/>
      </w:pPr>
      <w:r>
        <w:t xml:space="preserve">45V credit alignment — data center fuel cell backup or H₂ export provides natural offtake for AmmoBurst hydrogen production. Lifecycle GHG calculation under 45VH2-GREET favorable when integrated with clean MHD output.</w:t>
      </w:r>
    </w:p>
    <w:p>
      <w:pPr>
        <w:pStyle w:val="ListParagraph"/>
        <w:numPr>
          <w:ilvl w:val="0"/>
          <w:numId w:val="2"/>
        </w:numPr>
        <w:spacing w:after="80"/>
      </w:pPr>
      <w:r>
        <w:t xml:space="preserve">Co-location regulatory pathway — Texas SB6 (July 2025) and similar state reforms enable streamlined interconnection and co-location. Architecture 2 deployment avoids interconnection bottlenecks that constrain utility-scale alternatives.</w:t>
      </w:r>
    </w:p>
    <w:p>
      <w:pPr>
        <w:pStyle w:val="ListParagraph"/>
        <w:numPr>
          <w:ilvl w:val="0"/>
          <w:numId w:val="2"/>
        </w:numPr>
        <w:spacing w:after="80"/>
      </w:pPr>
      <w:r>
        <w:t xml:space="preserve">Compatibility with parallel secondary track — Path 2 (industrial-scale dispatchable) can be pursued in parallel; the underlying technology is the same. Successful Path 2 engagements diversify commercial risk; technical work is ~80-90% shared.</w:t>
      </w:r>
    </w:p>
    <w:p>
      <w:pPr>
        <w:spacing w:after="120" w:line="300"/>
      </w:pPr>
      <w:r>
        <w:t xml:space="preserve">Path 2 (industrial-scale dispatchable) should be developed as parallel secondary because it diversifies commercial risk (not entirely dependent on AI demand growth), industrial customers have stable demand patterns, 45V credit captures industrial H₂ market (chemical feedstock, refining), successful Path 2 demonstrations strengthen Path 1 commercial pitch, and technical work is largely shared.</w:t>
      </w:r>
    </w:p>
    <w:p>
      <w:pPr>
        <w:spacing w:after="120" w:line="300"/>
      </w:pPr>
      <w:r>
        <w:t xml:space="preserve">Path 3 (utility-scale grid-tied) should be pursued only after Stage 3 demonstrator success on Paths 1-2. Utility-scale grid-tied requires conventional regulatory pathway, lower per-MWh pricing, and longer procurement cycles. The commercial advantages of Paths 1 and 2 (premium pricing, faster procurement, regulatory streamlining) make them the strategic priority.</w:t>
      </w:r>
    </w:p>
    <w:p>
      <w:pPr>
        <w:pStyle w:val="Heading1"/>
      </w:pPr>
      <w:r>
        <w:t xml:space="preserve">6. What Architecture 2 Is Not</w:t>
      </w:r>
    </w:p>
    <w:p>
      <w:pPr>
        <w:pStyle w:val="ListParagraph"/>
        <w:numPr>
          <w:ilvl w:val="0"/>
          <w:numId w:val="2"/>
        </w:numPr>
        <w:spacing w:after="80"/>
      </w:pPr>
      <w:r>
        <w:t xml:space="preserve">Not a continuation of failed heritage programs — heritage programs failed in a fundamentally different commercial environment. Architecture 2's case rests on the modern environment being unrecognizable from 1993, not on Aurora repeating heritage efforts with marginal improvements.</w:t>
      </w:r>
    </w:p>
    <w:p>
      <w:pPr>
        <w:pStyle w:val="ListParagraph"/>
        <w:numPr>
          <w:ilvl w:val="0"/>
          <w:numId w:val="2"/>
        </w:numPr>
        <w:spacing w:after="80"/>
      </w:pPr>
      <w:r>
        <w:t xml:space="preserve">Not a near-term commercial product — Stage 1 to Stage 4 runs ~10 years from current state. Path 1 commercial revenue 2034+.</w:t>
      </w:r>
    </w:p>
    <w:p>
      <w:pPr>
        <w:pStyle w:val="ListParagraph"/>
        <w:numPr>
          <w:ilvl w:val="0"/>
          <w:numId w:val="2"/>
        </w:numPr>
        <w:spacing w:after="80"/>
      </w:pPr>
      <w:r>
        <w:t xml:space="preserve">Not de-risked — five pre-hardware Stage 1 deliverables remain. The σ scale-up gap, multi-pass operational deployment, materials at 5 simultaneous environments, AmmoBurst parasitic balance, and FOAK capex inheritance are real outstanding questions.</w:t>
      </w:r>
    </w:p>
    <w:p>
      <w:pPr>
        <w:pStyle w:val="ListParagraph"/>
        <w:numPr>
          <w:ilvl w:val="0"/>
          <w:numId w:val="2"/>
        </w:numPr>
        <w:spacing w:after="80"/>
      </w:pPr>
      <w:r>
        <w:t xml:space="preserve">Not a single-architecture bet — benefits substantially from cross-architecture leverage (CC-75) — HTS magnets, AM, AI/ML control, materials testing, σ characterization, multiphysics CFD. Incremental cost ($100-300M after cross-cutting allocation) vs total ($235-600M).</w:t>
      </w:r>
    </w:p>
    <w:p>
      <w:pPr>
        <w:pStyle w:val="ListParagraph"/>
        <w:numPr>
          <w:ilvl w:val="0"/>
          <w:numId w:val="2"/>
        </w:numPr>
        <w:spacing w:after="80"/>
      </w:pPr>
      <w:r>
        <w:t xml:space="preserve">Not certain to qualify for full $3/kg 45V credit — lifecycle GHG qualification under 45VH2-GREET depends on integrated system carbon intensity. Stage 1 economic analysis must include sensitivity to partial qualification ($0.60-$1.00/kg) and zero credit scenarios.</w:t>
      </w:r>
    </w:p>
    <w:p>
      <w:pPr>
        <w:pStyle w:val="ListParagraph"/>
        <w:numPr>
          <w:ilvl w:val="0"/>
          <w:numId w:val="2"/>
        </w:numPr>
        <w:spacing w:after="80"/>
      </w:pPr>
      <w:r>
        <w:t xml:space="preserve">Not the only firm clean baseload competitor for data centers — SMR nuclear (45 GW offtake pipeline), advanced geothermal (Fervo, Eavor), advanced nuclear (Kairos, X-energy) all competing. Architecture 2's competitive advantage rests on time-to-deployment vs SMR (longer) and lower carbon vs gas (cleaner).</w:t>
      </w:r>
    </w:p>
    <w:p>
      <w:pPr>
        <w:pStyle w:val="ListParagraph"/>
        <w:numPr>
          <w:ilvl w:val="0"/>
          <w:numId w:val="2"/>
        </w:numPr>
        <w:spacing w:after="80"/>
      </w:pPr>
      <w:r>
        <w:t xml:space="preserve">Not certain to succeed where heritage programs failed — fundamental technical questions (σ at MHD-channel scale, multi-pass operational performance, materials durability, AmmoBurst balance) remain open. Modern commercial environment is necessary but not sufficient for commercial success.</w:t>
      </w:r>
    </w:p>
    <w:p>
      <w:pPr>
        <w:pStyle w:val="Heading1"/>
      </w:pPr>
      <w:r>
        <w:t xml:space="preserve">7. Architecture 2 Prior Art Snapshot</w:t>
      </w:r>
    </w:p>
    <w:p>
      <w:pPr>
        <w:spacing w:after="120" w:line="300"/>
      </w:pPr>
      <w:r>
        <w:t xml:space="preserve">Single-page reference summary of where each design dimension stands after the four-phase prior art exercise.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200"/>
        <w:gridCol w:w="3660"/>
      </w:tblGrid>
      <w:tr>
        <w:tc>
          <w:tcPr>
            <w:tcW w:type="dxa" w:w="350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20"/>
                <w:szCs w:val="20"/>
              </w:rPr>
              <w:t xml:space="preserve">Design Dimension</w:t>
            </w:r>
          </w:p>
        </w:tc>
        <w:tc>
          <w:tcPr>
            <w:tcW w:type="dxa" w:w="220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20"/>
                <w:szCs w:val="20"/>
              </w:rPr>
              <w:t xml:space="preserve">Status</w:t>
            </w:r>
          </w:p>
        </w:tc>
        <w:tc>
          <w:tcPr>
            <w:tcW w:type="dxa" w:w="3660"/>
            <w:tcBorders>
              <w:top w:val="single" w:color="CCCCCC" w:sz="4"/>
              <w:left w:val="single" w:color="CCCCCC" w:sz="4"/>
              <w:bottom w:val="single" w:color="CCCCCC" w:sz="4"/>
              <w:right w:val="single" w:color="CCCCCC" w:sz="4"/>
            </w:tcBorders>
            <w:shd w:fill="7A4F1F" w:val="clear"/>
            <w:tcMar>
              <w:top w:type="dxa" w:w="80"/>
              <w:left w:type="dxa" w:w="120"/>
              <w:bottom w:type="dxa" w:w="80"/>
              <w:right w:type="dxa" w:w="120"/>
            </w:tcMar>
          </w:tcPr>
          <w:p>
            <w:pPr>
              <w:spacing w:after="40"/>
            </w:pPr>
            <w:r>
              <w:rPr>
                <w:b/>
                <w:bCs/>
                <w:color w:val="FFFFFF"/>
                <w:sz w:val="20"/>
                <w:szCs w:val="20"/>
              </w:rPr>
              <w:t xml:space="preserve">Source / Action</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Faraday MHD physics</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Operationally validated at scale</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U-25, Avco, CDIF heritage</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18 MPa pressure containment</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Commercially mature</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sCO₂ ecosystem (CC-64)</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NH₃ chemistry handling</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Industrially mature</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Haber-Bosch + green NH₃ (CC-65)</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15 T HTS magnets</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Commercially available</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CC-21, CC-30</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Aerospace AM ducting</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Production-ready</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CC-24, CC-41</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Multiphysics CFD</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Validated tools</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Marzouk, mhdMRF (CC-10, CC-49)</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AI/ML plasma + chemistry control</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Newly available (2024+)</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Seo Nature 2024 (CC-56)</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45V hydrogen credit</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Commercially decisive</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CC-72</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AI/data center premium pricing</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Commercially decisive</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CC-73</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Modern interconnection reform</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Modular deployment enabled</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FERC 2222 + Texas SB6 (CC-74)</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Aurora cross-architecture leverage</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Materially reduces incremental cost</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CC-75</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σ scale-up at MHD-channel scale</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Unresolved (3-4 OOM scale-up)</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Risk 1 — Stage 1 deliverable</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Multi-pass Faraday operational</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Never demonstrated</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Risk 2 — Stage 1 deliverable</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Materials at 5 environments</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Untested combination</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Risk 3 — Stage 1 deliverable</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AmmoBurst power balance</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Unclosed</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Risk 4 — Stage 1 deliverable</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FOAK vs 1993 DOE context</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Unmodeled comparison</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Risk 5 — Stage 1 deliverable</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Stacked novelty (6 innovations)</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Multiplicative integration risk</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Risk 6 (with fallback config)</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45V credit policy stability</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Subject to admin cycles</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Risk 7 (sensitivity analysis)</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AI/data center demand growth</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Wide uncertainty bands</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Risk 8 (sensitivity analysis)</w:t>
            </w:r>
          </w:p>
        </w:tc>
      </w:tr>
      <w:tr>
        <w:tc>
          <w:tcPr>
            <w:tcW w:type="dxa" w:w="35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20"/>
                <w:szCs w:val="20"/>
              </w:rPr>
              <w:t xml:space="preserve">End-state choice</w:t>
            </w:r>
          </w:p>
        </w:tc>
        <w:tc>
          <w:tcPr>
            <w:tcW w:type="dxa" w:w="22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bCs/>
                <w:sz w:val="20"/>
                <w:szCs w:val="20"/>
              </w:rPr>
              <w:t xml:space="preserve">Path 1 recommended</w:t>
            </w:r>
          </w:p>
        </w:tc>
        <w:tc>
          <w:tcPr>
            <w:tcW w:type="dxa" w:w="36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40"/>
            </w:pPr>
            <w:r>
              <w:rPr>
                <w:b w:val="false"/>
                <w:bCs w:val="false"/>
                <w:sz w:val="18"/>
                <w:szCs w:val="18"/>
              </w:rPr>
              <w:t xml:space="preserve">Path 1 primary, Path 2 secondary</w:t>
            </w:r>
          </w:p>
        </w:tc>
      </w:tr>
    </w:tbl>
    <w:p>
      <w:pPr>
        <w:spacing w:after="240" w:before="480"/>
      </w:pPr>
      <w:r>
        <w:rPr>
          <w:b/>
          <w:bCs/>
          <w:color w:val="7A4F1F"/>
          <w:sz w:val="26"/>
          <w:szCs w:val="26"/>
        </w:rPr>
        <w:t xml:space="preserve">Net Assessment</w:t>
      </w:r>
    </w:p>
    <w:p>
      <w:pPr>
        <w:spacing w:after="120" w:line="300"/>
      </w:pPr>
      <w:r>
        <w:t xml:space="preserve">Architecture 2 has the strongest technical foundation of any Aurora architecture combined with the most challenging disrupting facts related to commercial viability. The strategic case rests on whether the modern commercial environment transformation (45V hydrogen credit + AI/data center premium pricing + modern industrial ecosystem maturity + cross-architecture leverage) collectively flips the FOAK economics that ended heritage programs.</w:t>
      </w:r>
    </w:p>
    <w:p>
      <w:pPr>
        <w:spacing w:after="120" w:line="300"/>
      </w:pPr>
      <w:r>
        <w:t xml:space="preserve">The technology must still work at MWe scale — Stage 1 σ scale-up analysis, Stage 2-3 operational validation remain structurally necessary. But if it works, the commercial pathway is genuinely tractable in a way it wasn't for heritage programs.</w:t>
      </w:r>
    </w:p>
    <w:p>
      <w:pPr>
        <w:spacing w:after="120" w:line="300"/>
      </w:pPr>
      <w:r>
        <w:t xml:space="preserve">The recommended primary end-state (Path 1: data center co-located firm clean baseload + hydrogen) takes advantage of premium pricing capture, modular scale match to hyperscaler campuses, 45V credit alignment, and co-location regulatory pathway. Path 2 (industrial-scale dispatchable) should be developed as parallel secondary. Path 3 (utility-scale grid-tied) is deferred.</w:t>
      </w:r>
    </w:p>
    <w:p>
      <w:pPr>
        <w:spacing w:after="120" w:line="300"/>
      </w:pPr>
      <w:r>
        <w:t xml:space="preserve">The strategic case rests on (a) successful Stage 1 σ scale-up analysis demonstrating adequate margin, (b) multi-pass aerodynamic loss budget showing net economic benefit, (c) materials selection working across five degradation environments, (d) AmmoBurst power balance closure, and (e) FOAK economic comparison demonstrating structural advantages over heritage programs. Without all five, Architecture 2 should not proceed to Stage 2 hardware commitment.</w:t>
      </w:r>
    </w:p>
    <w:p>
      <w:pPr>
        <w:spacing w:after="120" w:line="300"/>
      </w:pPr>
      <w:r>
        <w:t xml:space="preserve">Architecture 2's commercial economics have changed more between 1993 and 2025 than the technology itself has. The technology is largely the same as 1993 (with engineering improvements); the commercial environment is unrecognizable. This is the central asymmetry that Aurora's case must articulate — heritage programs failed because the commercial context could not support the FOAK capex; Architecture 2 may succeed because the commercial context has transformed via 45V credits + AI/data center premium pricing.</w:t>
      </w:r>
    </w:p>
    <w:p>
      <w:pPr>
        <w:spacing w:after="120" w:line="300"/>
      </w:pPr>
      <w:r>
        <w:t xml:space="preserve">This synthesis derives from a four-phase prior art landscape covering 9 direct heritage entries, 6 supporting work entries, 8 disrupting work entries, 7 adjacent inspirational entries, plus 16 cross-cutting register items unique to Architecture 2 (CC-60 through CC-75) within the broader Aurora technology set register of 75 total entries. The full prior art document accompanies this synthesis as a working reference.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08080"/>
        <w:sz w:val="18"/>
        <w:szCs w:val="18"/>
      </w:rPr>
      <w:t xml:space="preserve">Aurora Architecture 2 — Prior Art Synthesis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7A4F1F"/>
      <w:sz w:val="36"/>
      <w:szCs w:val="36"/>
    </w:rPr>
  </w:style>
  <w:style w:type="paragraph" w:styleId="Heading2">
    <w:name w:val="Heading 2"/>
    <w:basedOn w:val="Normal"/>
    <w:next w:val="Normal"/>
    <w:qFormat/>
    <w:pPr>
      <w:spacing w:after="120" w:before="240"/>
      <w:outlineLvl w:val="1"/>
    </w:pPr>
    <w:rPr>
      <w:rFonts w:ascii="Calibri" w:cs="Calibri" w:eastAsia="Calibri" w:hAnsi="Calibri"/>
      <w:b/>
      <w:bCs/>
      <w:color w:val="B8742B"/>
      <w:sz w:val="28"/>
      <w:szCs w:val="28"/>
    </w:rPr>
  </w:style>
  <w:style w:type="paragraph" w:styleId="Heading3">
    <w:name w:val="Heading 3"/>
    <w:basedOn w:val="Normal"/>
    <w:next w:val="Normal"/>
    <w:qFormat/>
    <w:pPr>
      <w:spacing w:after="100" w:before="180"/>
      <w:outlineLvl w:val="2"/>
    </w:pPr>
    <w:rPr>
      <w:rFonts w:ascii="Calibri" w:cs="Calibri" w:eastAsia="Calibri" w:hAnsi="Calibri"/>
      <w:b/>
      <w:bCs/>
      <w:color w:val="B8742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2 Prior Art Synthesis</dc:title>
  <dc:creator>Aurora MHD Project</dc:creator>
  <cp:lastModifiedBy>Un-named</cp:lastModifiedBy>
  <cp:revision>1</cp:revision>
  <dcterms:created xsi:type="dcterms:W3CDTF">2026-05-06T06:05:29.483Z</dcterms:created>
  <dcterms:modified xsi:type="dcterms:W3CDTF">2026-05-06T06:05:29.495Z</dcterms:modified>
</cp:coreProperties>
</file>

<file path=docProps/custom.xml><?xml version="1.0" encoding="utf-8"?>
<Properties xmlns="http://schemas.openxmlformats.org/officeDocument/2006/custom-properties" xmlns:vt="http://schemas.openxmlformats.org/officeDocument/2006/docPropsVTypes"/>
</file>