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5B0000"/>
          <w:sz w:val="36"/>
          <w:szCs w:val="36"/>
        </w:rPr>
        <w:t xml:space="preserve">Aurora MHD Technology Set</w:t>
      </w:r>
    </w:p>
    <w:p>
      <w:pPr>
        <w:spacing w:after="240"/>
        <w:jc w:val="center"/>
      </w:pPr>
      <w:r>
        <w:rPr>
          <w:b/>
          <w:bCs/>
          <w:color w:val="8B0000"/>
          <w:sz w:val="32"/>
          <w:szCs w:val="32"/>
        </w:rPr>
        <w:t xml:space="preserve">Architecture 1 — Corkscrew MHD Accelerator</w:t>
      </w:r>
    </w:p>
    <w:p>
      <w:pPr>
        <w:spacing w:after="120"/>
        <w:jc w:val="center"/>
      </w:pPr>
      <w:r>
        <w:rPr>
          <w:i/>
          <w:iCs/>
          <w:color w:val="8B0000"/>
          <w:sz w:val="26"/>
          <w:szCs w:val="26"/>
        </w:rPr>
        <w:t xml:space="preserve">with Induction Recovery (Aerospace IADS)</w:t>
      </w:r>
    </w:p>
    <w:p>
      <w:pPr>
        <w:spacing w:after="480"/>
        <w:jc w:val="center"/>
      </w:pPr>
      <w:r>
        <w:rPr>
          <w:i/>
          <w:iCs/>
          <w:color w:val="404040"/>
          <w:sz w:val="28"/>
          <w:szCs w:val="28"/>
        </w:rPr>
        <w:t xml:space="preserve">Prior Art Synthesis &amp; Strategic Position</w:t>
      </w:r>
    </w:p>
    <w:p>
      <w:pPr>
        <w:spacing w:after="1200"/>
        <w:jc w:val="center"/>
      </w:pPr>
      <w:r>
        <w:rPr>
          <w:color w:val="808080"/>
          <w:sz w:val="20"/>
          <w:szCs w:val="20"/>
        </w:rPr>
        <w:t xml:space="preserve">Working document — internal use</w:t>
      </w:r>
    </w:p>
    <w:p>
      <w:pPr>
        <w:pStyle w:val="Heading1"/>
      </w:pPr>
      <w:r>
        <w:t xml:space="preserve">1. Executive Summary</w:t>
      </w:r>
    </w:p>
    <w:p>
      <w:pPr>
        <w:spacing w:after="120" w:line="300"/>
      </w:pPr>
      <w:r>
        <w:t xml:space="preserve">Architecture 1 is a high-power J×B Lorentz force MHD plasma accelerator with downstream induction-recovery generator section, configured in a helical corkscrew duct geometry within a ~5.5 m enclosure. The plasma working fluid is HydroSynth-ionized atmospheric or seeded gas, accelerated to 5-7 km/s under combined magnetic field of 10 T toroidal and 3 T poloidal (modern HTS). The architecture targets the aerospace IADS market as primary, with parallel applications in commercial hypersonic flow-management and (longer-term) space-power propulsion.</w:t>
      </w:r>
    </w:p>
    <w:p>
      <w:pPr>
        <w:spacing w:after="120" w:line="300"/>
      </w:pPr>
      <w:r>
        <w:t xml:space="preserve">Architecture 1 sits at the intersection of three heritage threads: AJAX-class hypersonic MHD bypass (Russian Leninets, NASA Ames/Glenn, MARIAH II), MPDT applied-field accelerators (Princeton EPPDyL, Stuttgart, Chinese groups), and marine MHD propulsion (Yamato-1, the only full-scale operational MHD-propelled vehicle). It is a high-risk, high-upside bet that depends on Aurora succeeding at three things prior programs did not: closing the AJAX power balance, escaping the Kerrebrock constraint via HydroSynth, and demonstrating the corkscrew helical geometry delivers what coaxial topologies could not.</w:t>
      </w:r>
    </w:p>
    <w:p>
      <w:pPr>
        <w:spacing w:after="120" w:line="300"/>
      </w:pPr>
      <w:r>
        <w:t xml:space="preserve">The four-phase prior art exercise establishes that Architecture 1 has eight specific risks, five of which involve fundamental physics questions that 30-60 years of focused research have not definitively resolved. However, modern adjacent advances (HTS magnets, aerospace AM, SiC/GaN pulsed power, commercial hypersonic ecosystem, IADS market timing per EO 14186) have transformed the commercial viability landscape since MARIAH II was terminated in 2007. The recommended primary end-state is IADS directed-energy capability, with commercial flow-management as parallel secondary track.</w:t>
      </w:r>
    </w:p>
    <w:p>
      <w:pPr>
        <w:pStyle w:val="Heading1"/>
      </w:pPr>
      <w:r>
        <w:t xml:space="preserve">2. Defensible Technical Claims</w:t>
      </w:r>
    </w:p>
    <w:p>
      <w:pPr>
        <w:spacing w:after="120" w:line="300"/>
      </w:pPr>
      <w:r>
        <w:t xml:space="preserve">The claims below can be defended with reference to documented prior art. Each is followed by its supporting evidence and any caveats.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Claim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Evidence and Caveat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J×B Lorentz force acceleration is mature physics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MPDT heritage 60+ years; Japanese SFU 1996 quasi-steady pulsed flight; Chinese 150 kW SC-MPDT at 76.6% efficiency; Zheng et al. 12 kW HTS-AFMPDT first-of-kind 2025. Caveat: no multi-MW continuous operational MPDT in 60 years.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AF-MPDT applied-field topology aligns with 10T+3T configuration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AF-MPDT axial+radial field is topological analog. Caveat: flying AF-MPDTs operate &lt;1 T central plasma; 10-15 T is order-of-magnitude extrapolation.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Full-scale MHD propulsion has been demonstrated operationally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Yamato-1 (1992), 30 m ship, 4 T NbTi magnets, carried humans, 8 kN per thruster. Caveat: 15% efficiency drove commercial obsolescence.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TsAGI confirmed accelerator + downstream generator topology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TsAGI 'high-enthalpy MHD generator using accelerator exhaust as working medium' is Architecture 1's exact topology. Caveat: heritage in Russian-language primary literature, partially translated.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HTS magnets retire the magnet-mass-and-cost constraint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Conduction-cooled HTS at 40 K: power 285 kW → &lt;1 kW; mass 220 kg → 60 kg (Zheng 2025). CFS 20 T at 20 K validated. Caveat: integration into helical duct still requires custom engineering.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aerospace AM makes corkscrew helical duct fabricable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NASA RAMPT 102 cm × 97 cm with integrated channels in 30 days. GRCop-42/84 chambers: 30,000+ s, 400+ starts hot-fire. Cellcore helical/lattice cooling. Caveat: specific Architecture 1 design must be validated in production.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SiC/GaN pulsed power makes HydroSynth-class drives commercial COTS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Nanosecond-class HV pulse generation now solid-state commercial. Caveat: HydroSynth's specific σ × volume × duration requirement at MHD-relevant scale remains unproven.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NS-DBD plasma physics is flight-qualified for surface effects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Full-size piloted glider, UAVs, hypersonic Mach 6 quiet tunnel demos. Caveat: bulk-volumetric ionization at MHD-relevant σ has not been demonstrated in any flying or operational system in 20+ years.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Commercial hypersonic ecosystem provides customer base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Hermeus ($1B valuation), Stratolaunch, Venus Aerospace, Hypersonix, Boom Supersonic. $9B+ defense tech VC 2024. EO 14186, scaled hypersonics designation. Caveat: market timing is favorable today but may not be in 5-10 years.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Acquisition exit pathway established at validated benchmarks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AeroVironment $4.1B BlueHalo (late 2024) for laser/electromagnetic systems. Implies $1-5B for Architecture 1 at proven-demonstrator stage. Caveat: capture requires reaching demonstrator stage, not just category.</w:t>
            </w:r>
          </w:p>
        </w:tc>
      </w:tr>
    </w:tbl>
    <w:p>
      <w:pPr>
        <w:pStyle w:val="Heading1"/>
      </w:pPr>
      <w:r>
        <w:t xml:space="preserve">3. Acknowledged Risks</w:t>
      </w:r>
    </w:p>
    <w:p>
      <w:pPr>
        <w:spacing w:after="120" w:line="300"/>
      </w:pPr>
      <w:r>
        <w:t xml:space="preserve">The risks below are not retired by prior art. Five involve fundamental physics questions that 30-60 years of focused research have not definitively answered. Architecture 1 must address each through its development program.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Evidence and Retirement Path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1 — The AJAX Power Balance Problem (HIGHEST PRIORITY)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30-year unresolved disagreement between NASA Ames (parasitic ionization power exceeds generated) and Russian Sheikin/Kuranov (self-sustained operation possible). No hardware has settled this. Retired by: rigorous power balance analysis specific to Architecture 1 configuration with HydroSynth, recovery section, and corkscrew geometry. STAGE 1 PRE-HARDWARE DELIVERABLE.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2 — The Kerrebrock Constraint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60-year fundamental physics constraint: non-equilibrium ionization requires Hall-effect conditions creating dominant electrical losses. HydroSynth's bulk-volumetric DBD attempts to escape this. Retired by: HydroSynth σ characterization document benchmarking against DBD literature, NETL seedless DPE, Tokyo Tech RF. STAGE 1 PRE-HARDWARE DELIVERABLE.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3 — Cathode/Electrode Erosion at High Current Density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60-year MPDT problem since 1986. &gt;100 A/cm² causes evaporation, sublimation, melting, cracking across all geometries. Partial solutions exist (Li/Ba propellant, hollow cathodes, ThO₂ doping) but no continuous multi-MW operational MPDT exists. Retired by: multi-thousand-hour J×B-mode electrode test program ($5-15M, 2-3 years; parallel with Architecture 4 testing per CC-37).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4 — DBD Bulk-Volumetric Ionization at MHD-Relevant σ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20+ years of research; flight-qualified for surface effects only. HydroSynth, NETL seedless DPE, Tokyo Tech RF all pursue same gap; none has demonstrated MWe-class. Retired by: sub-scale (kW class) HydroSynth + MHD channel testing for σ verification at Architecture 1 spatial scales.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5 — Full-System Mass-Power Ratio for IADS Deployment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AJAX IVTAN studies showed MHD generator + magnet mass is significant fraction of vehicle mass. Modern HTS helps but full-system mass budget unexamined for Architecture 1. Retired by: full-system mass-power model for representative IADS scale (5-50 MW). STAGE 1 PRE-HARDWARE DELIVERABLE.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6 — Mach-Independence Ceiling (Macheret/Shneider)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Inter-segment electrode arcing flattens expected interaction parameter scaling with Mach number. Retired by: Architecture 1 electrode segmentation design study using modern AM (CC-24, CC-41) addressing arcing constraint.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7 — Helical Corkscrew Geometry Performance Justification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No prior MHD accelerator uses helical corkscrew duct. AF-MPDT swirl mechanism is closest analog but geometrically different. Retired by: corkscrew design rationale document with CFD-MHD modeling (Marzouk OpenFOAM solver) showing performance vs coaxial baseline.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8 — End-State Strategic Choice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Three distinct end-states (IADS, flow-management, space-power variant) imply different development priorities. Spreading resources across three paths is organizational risk. Retired by: explicit primary end-state choice with documented rationale (recommended Path A: IADS, in Section 5).</w:t>
            </w:r>
          </w:p>
        </w:tc>
      </w:tr>
    </w:tbl>
    <w:p>
      <w:pPr>
        <w:pStyle w:val="Heading1"/>
      </w:pPr>
      <w:r>
        <w:t xml:space="preserve">4. Risk Retirement Development Plan</w:t>
      </w:r>
    </w:p>
    <w:p>
      <w:pPr>
        <w:spacing w:after="120" w:line="300"/>
      </w:pPr>
      <w:r>
        <w:t xml:space="preserve">Sequenced development program addressing the eight risks. The Stage 1 analytical work delivers three pre-hardware deliverables that resolve fundamental physics questions before any hardware commitment.</w:t>
      </w:r>
    </w:p>
    <w:p>
      <w:pPr>
        <w:pStyle w:val="Heading3"/>
      </w:pPr>
      <w:r>
        <w:t xml:space="preserve">Stage 0 — Strategic Foundation (months 0–3, ~$0.5M)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End-state choice with documented rationale (Risk 8) — recommended Path A: IADS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Engagement strategy with primary end-state customer category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IP landscape review for corkscrew helical duct geometry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Technology scouting relationships: Hermeus, Stratolaunch, Venus (commercial hypersonic); AeroVironment, L3Harris, RTX, Lockheed, Northrop (defense primes); Ad Astra, Magdrive, Phase Four (plasma propulsion partners)</w:t>
      </w:r>
    </w:p>
    <w:p>
      <w:pPr>
        <w:pStyle w:val="Heading3"/>
      </w:pPr>
      <w:r>
        <w:t xml:space="preserve">Stage 1 — Analytical Risk Retirement (months 3–9, ~$1.5–2.5M)</w:t>
      </w:r>
    </w:p>
    <w:p>
      <w:pPr>
        <w:spacing w:after="120" w:line="300"/>
      </w:pPr>
      <w:r>
        <w:t xml:space="preserve">The three pre-hardware deliverables: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Rigorous power balance analysis anchored to Bruno-Czysz framework (CC-31), with explicit treatment of HydroSynth parasitic load, recovery section, and corkscrew geometry coupling. Resolves AJAX 30-year debate for Architecture 1 specific configuration. (Risk 1)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HydroSynth σ characterization document benchmarking against DBD literature, NETL seedless DPE, Tokyo Tech RF at Architecture 1's required σ × volume × duration combination. (Risk 2, 4)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Full-system mass-power model for representative IADS deployment scale (5-50 MW), translating component-level advances to operational vehicle ratio. (Risk 5)</w:t>
      </w:r>
    </w:p>
    <w:p>
      <w:pPr>
        <w:spacing w:after="120" w:line="300"/>
      </w:pPr>
      <w:r>
        <w:t xml:space="preserve">Plus parallel work: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Architecture 1 σ × B² × u design space mapping using Marzouk OpenFOAM solver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Corkscrew geometry CFD-MHD modeling vs coaxial baseline (Risk 7)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Electrode segmentation design study addressing Mach-independence ceiling (Risk 6)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HTS magnet engagement with CFS / Tokamak Energy / Stuttgart IRS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 electrode design with NASA RAMPT/RAMFIRE-class vendors</w:t>
      </w:r>
    </w:p>
    <w:p>
      <w:pPr>
        <w:pStyle w:val="Heading3"/>
      </w:pPr>
      <w:r>
        <w:t xml:space="preserve">Stage 2 — Component-Level Validation (months 9–30, ~$8–18M)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Sub-scale (kW class) HydroSynth + MHD channel testing for σ verification (Risk 4 entry; combines with Risk 3)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Multi-thousand-hour J×B mode electrode lifetime test program with AM-fabricated refractory candidates (Risk 3)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Pre-ionization power supply integration testing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AF-MPDT engagement with Stuttgart IRS and Princeton EPPDyL for shared test infrastructure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Sub-scale corkscrew duct fabrication via NASA RAMPT/RAMFIRE-class AM</w:t>
      </w:r>
    </w:p>
    <w:p>
      <w:pPr>
        <w:pStyle w:val="Heading3"/>
      </w:pPr>
      <w:r>
        <w:t xml:space="preserve">Stage 3 — Sub-Scale Integrated Demonstrator (months 30–60, ~$50–120M)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1–5 MW class Architecture 1 demonstrator: J×B accelerator + helical duct + induction recovery + HydroSynth + HTS magnet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Validates: continuous operation, supersonic helical flow, HydroSynth at bulk-volume σ, electrode lifetime, magnet integration, power balance at scale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This is Architecture 1's MARIAH II equivalent at 40-100× smaller scale — what makes FOAK risk tractable</w:t>
      </w:r>
    </w:p>
    <w:p>
      <w:pPr>
        <w:pStyle w:val="Heading3"/>
      </w:pPr>
      <w:r>
        <w:t xml:space="preserve">Stage 4 — Operational Pilot (months 60–120, $300M–1B)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A (IADS, recommended primary): operational test article for defense customer; establishes TRL 6-7; positions for prime acquisition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B (flow-management): integration with Hermeus/Stratolaunch/Venus vehicle as flow-management component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C (space-power variant): engagement with Ad Astra/SpaceNukes for nuclear-electric variant</w:t>
      </w:r>
    </w:p>
    <w:p>
      <w:pPr>
        <w:pStyle w:val="Heading3"/>
      </w:pPr>
      <w:r>
        <w:t xml:space="preserve">Stage 5 — Strategic Exit / Scale (year 10+)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Acquisition by defense prime at $1-5B order of magnitude (BlueHalo benchmark)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Or independent scaling for Path B/C variants</w:t>
      </w:r>
    </w:p>
    <w:p>
      <w:pPr>
        <w:pStyle w:val="Heading1"/>
      </w:pPr>
      <w:r>
        <w:t xml:space="preserve">5. End-State Strategic Choice</w:t>
      </w:r>
    </w:p>
    <w:p>
      <w:pPr>
        <w:spacing w:after="120" w:line="300"/>
      </w:pPr>
      <w:r>
        <w:t xml:space="preserve">Phase 4 surfaced three distinct candidate end-states. The synthesis must choose one as primary; spreading scarce engineering resources across three product paths would prevent any one from succeeding.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80"/>
        <w:gridCol w:w="1880"/>
        <w:gridCol w:w="1880"/>
        <w:gridCol w:w="1880"/>
        <w:gridCol w:w="1880"/>
      </w:tblGrid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Dimension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Path A: IADS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Path B: Flow-Mgmt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Path C: Space-Power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Customer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DOD + allies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Hermeus, Stratolaunch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Ad Astra, SpaceNukes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largest market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Market timing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Exceptional (EO 14186)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Favorable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Niche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best timing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Funding pathway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DOD + defense VC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Commercial VC + customer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Strategic partnership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most channels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Exit value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$1-5B (BlueHalo)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$200M-1B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$50-300M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5-30× others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Tech fit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Strong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Moderate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Moderate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best alignment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Reg. complexity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High (ITAR)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Medium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Medium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higher cost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Time to revenue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7-10 yrs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4-6 yrs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8-12 yrs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B fastest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Engineering risk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Highest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Lower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Higher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B safest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TAM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$50B+ US IADS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$10-20B hypersonic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$5-10B space prop.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A largest</w:t>
            </w:r>
          </w:p>
        </w:tc>
      </w:tr>
    </w:tbl>
    <w:p>
      <w:pPr>
        <w:spacing w:after="120" w:before="240"/>
      </w:pPr>
      <w:r>
        <w:rPr>
          <w:b/>
          <w:bCs/>
          <w:color w:val="5B0000"/>
          <w:sz w:val="26"/>
          <w:szCs w:val="26"/>
        </w:rPr>
        <w:t xml:space="preserve">Recommended Primary End-State: Path A — IADS Directed-Energy Capability</w:t>
      </w:r>
    </w:p>
    <w:p>
      <w:pPr>
        <w:spacing w:after="120" w:line="300"/>
      </w:pPr>
      <w:r>
        <w:t xml:space="preserve">The recommendation is based on five factors: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Highest exit value benchmark — BlueHalo $4.1B precedent implies $1-5B for Architecture 1 at proven-demonstrator stage; 5-10× Path B, 10-30× Path C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Largest TAM — US IADS market plus allied-nation parallel investment ($50B+ over 10 years)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Best market timing — EO 14186, scaled hypersonics designation, $9B+ defense tech VC 2024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Best alignment with Architecture 1 capabilities — high-thrust J×B accelerator with integrated power management is what IADS directed-energy applications value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Strongest funding path — AFRL, AFOSR, DARPA, DIU, OUSD(R&amp;E) all have active programs Architecture 1 fits directly</w:t>
      </w:r>
    </w:p>
    <w:p>
      <w:pPr>
        <w:spacing w:after="120" w:line="300"/>
      </w:pPr>
      <w:r>
        <w:t xml:space="preserve">Path B (flow-management) should be developed as parallel secondary track — it validates Architecture 1's flow-control capability with shorter feedback loop, Hermeus HEAT facility provides accessible test infrastructure, successful demonstrations strengthen the IADS pitch, commercial revenue can co-fund IADS development, and the technical work is ~80% shared between Path A and Path B.</w:t>
      </w:r>
    </w:p>
    <w:p>
      <w:pPr>
        <w:spacing w:after="120" w:line="300"/>
      </w:pPr>
      <w:r>
        <w:t xml:space="preserve">Path C (space-power variant) should be deferred until Stage 3 demonstrator success on Path A. Ad Astra-SpaceNukes alliance is the natural partner; engagement should follow Architecture 1 proving multi-MW continuous operation.</w:t>
      </w:r>
    </w:p>
    <w:p>
      <w:pPr>
        <w:pStyle w:val="Heading1"/>
      </w:pPr>
      <w:r>
        <w:t xml:space="preserve">6. What Architecture 1 Is Not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substitute for conventional jet engines in commodity flight applications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near-term commercial product — Stage 1 to Stage 4 runs ~10 years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de-risked — eight specific risks remain, including fundamental physics questions unresolved for 30-60 years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single-architecture bet — benefits significantly from cross-cutting work shared with other Aurora architectures (HTS, AM, pulsed power, electrode lifetime)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the only J×B accelerator concept being pursued in 2025 — modern HTS-AFMPDT (Princeton, Stuttgart, Chinese), commercial plasma propulsion (Ad Astra, Magdrive, Phase Four), AJAX-class hypersonic propulsion all active. Architecture 1 must articulate specific differentiation.</w:t>
      </w:r>
    </w:p>
    <w:p>
      <w:pPr>
        <w:pStyle w:val="Heading1"/>
      </w:pPr>
      <w:r>
        <w:t xml:space="preserve">7. Architecture 1 Prior Art Snapshot</w:t>
      </w:r>
    </w:p>
    <w:p>
      <w:pPr>
        <w:spacing w:after="120" w:line="300"/>
      </w:pPr>
      <w:r>
        <w:t xml:space="preserve">Single-page reference summary of where each design dimension stands after the four-phase prior art exercise.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00"/>
        <w:gridCol w:w="366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Design Dimension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Source / Action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J×B Lorentz force acceleration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(sub-MW)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MPDT, AFMPDT 60-year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AF applied-field topology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Operationally proven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HTS-AFMPDT 2025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Full-scale MHD propulsion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(Yamato-1)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1992, 15% efficiency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Accelerator + recovery topology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(TsAGI)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Russian heritage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Modern HTS magnets at 10-15 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Commercially validated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CFS, Tokamak Energy, Zheng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Aerospace AM for helical ducts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Production-ready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NASA RAMPT/RAMFIRE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Pre-ionization power supply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 COTS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SiC/GaN industrial plasma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NS-DBD plasma physics (surface)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Flight-qualified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Multiple programs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Corkscrew helical geometry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Novel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No direct prior art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HydroSynth bulk-volumetric σ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Unproven at scale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4 — 20-year gap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Power balance closure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Unresolved (30 yr)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1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Kerrebrock constraint escape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Unproven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2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Cathode lifetime at high J/A²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60-year unsolved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3 — multi-1000 hr testing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Mass-power ratio (IADS scale)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Unmodeled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5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Mach-independence ceiling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Bounded but real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6 — design study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Customer ecosystem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Newly created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Hermeus + DOD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Acquisition exit pathway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Validated benchmark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BlueHalo $4.1B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End-state choice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Ambiguous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8 — Stage 0 (Path A recommended)</w:t>
            </w:r>
          </w:p>
        </w:tc>
      </w:tr>
    </w:tbl>
    <w:p>
      <w:pPr>
        <w:spacing w:after="240" w:before="480"/>
      </w:pPr>
      <w:r>
        <w:rPr>
          <w:b/>
          <w:bCs/>
          <w:color w:val="5B0000"/>
          <w:sz w:val="26"/>
          <w:szCs w:val="26"/>
        </w:rPr>
        <w:t xml:space="preserve">Net Assessment</w:t>
      </w:r>
    </w:p>
    <w:p>
      <w:pPr>
        <w:spacing w:after="120" w:line="300"/>
      </w:pPr>
      <w:r>
        <w:t xml:space="preserve">Architecture 1 is a high-risk, high-upside engineering bet. The 30-60 year unresolved physics questions (power balance, Kerrebrock, electrode erosion at high J/A², bulk-volume σ via DBD) must be addressed analytically in Stage 1 before hardware commitment. Modern adjacent advances (HTS, AM, pulsed power, commercial hypersonic ecosystem, IADS market timing) make the commercial path tractable in a way it was not when MARIAH II was terminated in 2007.</w:t>
      </w:r>
    </w:p>
    <w:p>
      <w:pPr>
        <w:spacing w:after="120" w:line="300"/>
      </w:pPr>
      <w:r>
        <w:t xml:space="preserve">The recommended primary end-state (Path A: IADS directed-energy capability) takes advantage of exceptional market timing, largest TAM, and best alignment with Architecture 1's specific capabilities. Path B (flow-management) should be developed as parallel secondary track. Path C (space-power variant) is a future opportunity post-Stage 3.</w:t>
      </w:r>
    </w:p>
    <w:p>
      <w:pPr>
        <w:spacing w:after="120" w:line="300"/>
      </w:pPr>
      <w:r>
        <w:t xml:space="preserve">The strategic case rests on (a) successful Stage 1 analytical risk retirement of the three pre-hardware deliverables, (b) modern technology adjacencies delivering on their promise during Stage 2 component validation, and (c) DOD funding alignment with EO 14186 and the scaled-hypersonics designation through Stage 3.</w:t>
      </w:r>
    </w:p>
    <w:p>
      <w:pPr>
        <w:spacing w:after="120" w:line="300"/>
      </w:pPr>
      <w:r>
        <w:t xml:space="preserve">This synthesis derives from a four-phase prior art landscape covering: 9 direct heritage entries, 8 supporting work entries, 10 disrupting work entries, 6 adjacent inspirational entries, plus 43 cross-cutting register items spanning the broader Aurora technology set. The full prior art document accompanies this synthesis as a working reference.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Aurora Architecture 1 — Prior Art Synthesis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5B000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8B000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libri" w:cs="Calibri" w:eastAsia="Calibri" w:hAnsi="Calibri"/>
      <w:b/>
      <w:bCs/>
      <w:color w:val="8B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1 Prior Art Synthesis</dc:title>
  <dc:creator>Aurora MHD Project</dc:creator>
  <cp:lastModifiedBy>Un-named</cp:lastModifiedBy>
  <cp:revision>1</cp:revision>
  <dcterms:created xsi:type="dcterms:W3CDTF">2026-05-06T03:06:07.667Z</dcterms:created>
  <dcterms:modified xsi:type="dcterms:W3CDTF">2026-05-06T03:06:07.685Z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